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w:t>
      </w:r>
      <w:r>
        <w:rPr>
          <w:b/>
          <w:i/>
          <w:sz w:val="28"/>
        </w:rPr>
        <w:tab/>
      </w:r>
      <w:r>
        <w:rPr>
          <w:rFonts w:hint="eastAsia"/>
          <w:b/>
          <w:sz w:val="24"/>
        </w:rPr>
        <w:t>R4-2</w:t>
      </w:r>
      <w:r>
        <w:rPr>
          <w:rFonts w:hint="eastAsia" w:eastAsia="宋体"/>
          <w:b/>
          <w:sz w:val="24"/>
          <w:lang w:val="en-US" w:eastAsia="zh-CN"/>
        </w:rPr>
        <w:t>411854</w:t>
      </w:r>
      <w:bookmarkStart w:id="0" w:name="_GoBack"/>
      <w:bookmarkEnd w:id="0"/>
    </w:p>
    <w:p>
      <w:pPr>
        <w:pStyle w:val="73"/>
        <w:outlineLvl w:val="0"/>
        <w:rPr>
          <w:b/>
          <w:sz w:val="24"/>
        </w:rPr>
      </w:pPr>
      <w:r>
        <w:rPr>
          <w:rFonts w:hint="eastAsia" w:eastAsia="宋体" w:cs="Arial"/>
          <w:b/>
          <w:sz w:val="24"/>
          <w:szCs w:val="24"/>
          <w:lang w:val="en-US" w:eastAsia="zh-CN"/>
        </w:rPr>
        <w:t>Maastricht,</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Netherlands</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19</w:t>
      </w:r>
      <w:r>
        <w:rPr>
          <w:rFonts w:hint="eastAsia" w:ascii="Arial" w:hAnsi="Arial" w:eastAsia="宋体" w:cs="Arial"/>
          <w:b/>
          <w:sz w:val="24"/>
          <w:szCs w:val="24"/>
          <w:lang w:eastAsia="zh-CN"/>
        </w:rPr>
        <w:t>th–</w:t>
      </w:r>
      <w:r>
        <w:rPr>
          <w:rFonts w:hint="eastAsia" w:cs="Arial"/>
          <w:b/>
          <w:sz w:val="24"/>
          <w:szCs w:val="24"/>
          <w:lang w:val="en-US" w:eastAsia="zh-CN"/>
        </w:rPr>
        <w:t>23rd</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Aug</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Style w:val="60"/>
          <w:rFonts w:hint="eastAsia"/>
          <w:b/>
          <w:highlight w:val="none"/>
          <w:lang w:val="en-US" w:eastAsia="zh-CN"/>
        </w:rPr>
        <w:t>Discussion on UE RF requirements for inter-band NR CA/DC with 3MHz CBW</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8.4.2</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jc w:val="both"/>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103</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NR channel BW less than 5MHz for FR1 Phase 2</w:t>
      </w:r>
      <w:r>
        <w:rPr>
          <w:rFonts w:hint="eastAsia"/>
          <w:i w:val="0"/>
          <w:iCs w:val="0"/>
          <w:sz w:val="20"/>
          <w:szCs w:val="20"/>
          <w:lang w:val="en-US" w:eastAsia="zh-CN"/>
        </w:rPr>
        <w:t xml:space="preserve"> with the following RAN4 objective</w:t>
      </w:r>
      <w:r>
        <w:rPr>
          <w:rFonts w:hint="default"/>
          <w:i w:val="0"/>
          <w:iCs w:val="0"/>
          <w:sz w:val="20"/>
          <w:szCs w:val="20"/>
          <w:lang w:val="en-US" w:eastAsia="zh-CN"/>
        </w:rPr>
        <w:t xml:space="preserve">. In this contribution, we want to share some </w:t>
      </w:r>
      <w:r>
        <w:rPr>
          <w:rFonts w:hint="eastAsia"/>
          <w:i w:val="0"/>
          <w:iCs w:val="0"/>
          <w:sz w:val="20"/>
          <w:szCs w:val="20"/>
          <w:lang w:val="en-US" w:eastAsia="zh-CN"/>
        </w:rPr>
        <w:t>further</w:t>
      </w:r>
      <w:r>
        <w:rPr>
          <w:rFonts w:hint="default"/>
          <w:i w:val="0"/>
          <w:iCs w:val="0"/>
          <w:sz w:val="20"/>
          <w:szCs w:val="20"/>
          <w:lang w:val="en-US" w:eastAsia="zh-CN"/>
        </w:rPr>
        <w:t xml:space="preserve"> views on UE RF requirements for inter-band NR CA/DC with 3MHz CBW.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8"/>
              </w:numPr>
              <w:overflowPunct/>
              <w:autoSpaceDE/>
              <w:autoSpaceDN/>
              <w:adjustRightInd/>
              <w:spacing w:before="60" w:after="60"/>
              <w:jc w:val="both"/>
              <w:textAlignment w:val="auto"/>
              <w:rPr>
                <w:color w:val="000000"/>
                <w:sz w:val="20"/>
                <w:szCs w:val="20"/>
                <w:lang w:val="en-US" w:eastAsia="zh-CN"/>
              </w:rPr>
            </w:pPr>
            <w:r>
              <w:rPr>
                <w:color w:val="000000"/>
                <w:sz w:val="20"/>
                <w:szCs w:val="20"/>
                <w:lang w:val="en-US" w:eastAsia="zh-CN"/>
              </w:rPr>
              <w:t>Define common co-located and non-co-located inter-band NR CA/DC UE RF requirements with 3MHz CBW in the one band and 5MHz or 10MHz CBW in the other band</w:t>
            </w:r>
          </w:p>
          <w:p>
            <w:pPr>
              <w:numPr>
                <w:ilvl w:val="1"/>
                <w:numId w:val="8"/>
              </w:numPr>
              <w:overflowPunct/>
              <w:autoSpaceDE/>
              <w:autoSpaceDN/>
              <w:adjustRightInd/>
              <w:spacing w:before="60" w:after="60"/>
              <w:jc w:val="both"/>
              <w:textAlignment w:val="auto"/>
              <w:rPr>
                <w:color w:val="000000"/>
                <w:sz w:val="20"/>
                <w:szCs w:val="20"/>
                <w:lang w:val="en-US" w:eastAsia="zh-CN"/>
              </w:rPr>
            </w:pPr>
            <w:r>
              <w:rPr>
                <w:color w:val="000000"/>
                <w:sz w:val="20"/>
                <w:szCs w:val="20"/>
                <w:lang w:val="en-US" w:eastAsia="zh-CN"/>
              </w:rPr>
              <w:t>Example band combination: CA/DC of 3MHz in band n100 and 5MHz or 10MHz in band n101</w:t>
            </w:r>
          </w:p>
          <w:p>
            <w:pPr>
              <w:numPr>
                <w:ilvl w:val="0"/>
                <w:numId w:val="8"/>
              </w:numPr>
              <w:overflowPunct/>
              <w:autoSpaceDE/>
              <w:autoSpaceDN/>
              <w:adjustRightInd/>
              <w:spacing w:before="60" w:after="60"/>
              <w:jc w:val="both"/>
              <w:textAlignment w:val="auto"/>
              <w:rPr>
                <w:color w:val="000000"/>
                <w:sz w:val="20"/>
                <w:szCs w:val="20"/>
                <w:lang w:val="en-US" w:eastAsia="zh-CN"/>
              </w:rPr>
            </w:pPr>
            <w:r>
              <w:rPr>
                <w:color w:val="000000"/>
                <w:sz w:val="20"/>
                <w:szCs w:val="20"/>
                <w:lang w:val="en-US" w:eastAsia="zh-CN"/>
              </w:rPr>
              <w:t>Define RRM requirements for inter-band CA and DC for combinations introduced in RF part</w:t>
            </w:r>
          </w:p>
          <w:p>
            <w:pPr>
              <w:overflowPunct w:val="0"/>
              <w:autoSpaceDE w:val="0"/>
              <w:autoSpaceDN w:val="0"/>
              <w:adjustRightInd w:val="0"/>
              <w:spacing w:after="180"/>
              <w:jc w:val="both"/>
              <w:textAlignment w:val="baseline"/>
              <w:rPr>
                <w:rFonts w:hint="eastAsia"/>
                <w:bCs/>
                <w:kern w:val="0"/>
                <w:sz w:val="20"/>
                <w:szCs w:val="20"/>
                <w:highlight w:val="none"/>
                <w:vertAlign w:val="baseline"/>
                <w:lang w:val="en-US" w:eastAsia="zh-CN"/>
              </w:rPr>
            </w:pPr>
            <w:r>
              <w:rPr>
                <w:rFonts w:hint="eastAsia"/>
                <w:sz w:val="20"/>
                <w:szCs w:val="20"/>
                <w:lang w:val="en-US" w:eastAsia="zh-CN"/>
              </w:rPr>
              <w:t>N</w:t>
            </w:r>
            <w:r>
              <w:rPr>
                <w:sz w:val="20"/>
                <w:szCs w:val="20"/>
                <w:lang w:val="en-US" w:eastAsia="zh-CN"/>
              </w:rPr>
              <w:t>ote: other band combinations than example band combinations can be specified in basket WIs after the above generic requirements are specified.</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numPr>
                <w:ilvl w:val="2"/>
                <w:numId w:val="0"/>
              </w:numPr>
              <w:overflowPunct w:val="0"/>
              <w:autoSpaceDE w:val="0"/>
              <w:autoSpaceDN w:val="0"/>
              <w:adjustRightInd w:val="0"/>
              <w:ind w:leftChars="0" w:right="0" w:rightChars="0"/>
              <w:textAlignment w:val="baseline"/>
              <w:rPr>
                <w:sz w:val="20"/>
                <w:szCs w:val="20"/>
              </w:rPr>
            </w:pPr>
            <w:r>
              <w:rPr>
                <w:sz w:val="20"/>
                <w:szCs w:val="20"/>
              </w:rPr>
              <w:t>Issue 1-6: UE capability and network signalling</w:t>
            </w:r>
          </w:p>
          <w:p>
            <w:pPr>
              <w:pStyle w:val="34"/>
              <w:numPr>
                <w:ilvl w:val="0"/>
                <w:numId w:val="9"/>
              </w:numPr>
              <w:overflowPunct/>
              <w:autoSpaceDE/>
              <w:autoSpaceDN/>
              <w:adjustRightInd w:val="0"/>
              <w:spacing w:after="180"/>
              <w:ind w:firstLineChars="0"/>
              <w:textAlignment w:val="auto"/>
              <w:rPr>
                <w:sz w:val="20"/>
                <w:szCs w:val="20"/>
              </w:rPr>
            </w:pPr>
            <w:r>
              <w:rPr>
                <w:sz w:val="20"/>
                <w:szCs w:val="20"/>
              </w:rPr>
              <w:t>FFS whether any updates to Rel-18 UE capability signalling are needed to enable less than 5 MHz CBW operation for CA/DC.</w:t>
            </w:r>
          </w:p>
          <w:p>
            <w:pPr>
              <w:pStyle w:val="34"/>
              <w:numPr>
                <w:ilvl w:val="0"/>
                <w:numId w:val="9"/>
              </w:numPr>
              <w:overflowPunct/>
              <w:autoSpaceDE/>
              <w:autoSpaceDN/>
              <w:adjustRightInd w:val="0"/>
              <w:spacing w:after="180"/>
              <w:ind w:firstLineChars="0"/>
              <w:textAlignment w:val="auto"/>
              <w:rPr>
                <w:sz w:val="20"/>
                <w:szCs w:val="20"/>
              </w:rPr>
            </w:pPr>
            <w:r>
              <w:rPr>
                <w:sz w:val="20"/>
                <w:szCs w:val="20"/>
              </w:rPr>
              <w:t>Further potential enhancements can be further discussed for SCell with less than 5MHz.</w:t>
            </w:r>
          </w:p>
          <w:p>
            <w:pPr>
              <w:pStyle w:val="34"/>
              <w:numPr>
                <w:ilvl w:val="1"/>
                <w:numId w:val="9"/>
              </w:numPr>
              <w:overflowPunct/>
              <w:autoSpaceDE/>
              <w:autoSpaceDN/>
              <w:adjustRightInd/>
              <w:spacing w:after="120"/>
              <w:ind w:firstLineChars="0"/>
              <w:textAlignment w:val="auto"/>
              <w:rPr>
                <w:rFonts w:eastAsia="宋体"/>
                <w:bCs/>
                <w:sz w:val="20"/>
                <w:szCs w:val="20"/>
                <w:lang w:eastAsia="zh-CN"/>
              </w:rPr>
            </w:pPr>
            <w:r>
              <w:rPr>
                <w:rFonts w:eastAsia="宋体"/>
                <w:sz w:val="20"/>
                <w:szCs w:val="20"/>
                <w:lang w:eastAsia="zh-CN"/>
              </w:rPr>
              <w:t>FFS whether UEs needs to be informed that SCell has 12 PRB or 20 PRB transmission bandwidth for 3MHz or 5MHz CBW, respectively</w:t>
            </w:r>
          </w:p>
          <w:p>
            <w:pPr>
              <w:pStyle w:val="34"/>
              <w:overflowPunct/>
              <w:autoSpaceDE/>
              <w:autoSpaceDN/>
              <w:adjustRightInd/>
              <w:spacing w:after="120"/>
              <w:ind w:left="1656" w:firstLine="0" w:firstLineChars="0"/>
              <w:textAlignment w:val="auto"/>
              <w:rPr>
                <w:rFonts w:eastAsia="宋体"/>
                <w:sz w:val="20"/>
                <w:szCs w:val="20"/>
                <w:highlight w:val="yellow"/>
                <w:lang w:eastAsia="zh-CN"/>
              </w:rPr>
            </w:pPr>
          </w:p>
          <w:p>
            <w:pPr>
              <w:pStyle w:val="4"/>
              <w:numPr>
                <w:ilvl w:val="2"/>
                <w:numId w:val="0"/>
              </w:numPr>
              <w:overflowPunct w:val="0"/>
              <w:autoSpaceDE w:val="0"/>
              <w:autoSpaceDN w:val="0"/>
              <w:adjustRightInd w:val="0"/>
              <w:ind w:leftChars="0" w:right="0" w:rightChars="0"/>
              <w:textAlignment w:val="baseline"/>
              <w:rPr>
                <w:sz w:val="20"/>
                <w:szCs w:val="20"/>
              </w:rPr>
            </w:pPr>
            <w:r>
              <w:rPr>
                <w:sz w:val="20"/>
                <w:szCs w:val="20"/>
              </w:rPr>
              <w:t>Issue 1-7: Sync raster applicability for Scell with &lt; 5MHz CBW for CA_n100-n101</w:t>
            </w:r>
          </w:p>
          <w:p>
            <w:pPr>
              <w:pStyle w:val="34"/>
              <w:numPr>
                <w:ilvl w:val="0"/>
                <w:numId w:val="9"/>
              </w:numPr>
              <w:overflowPunct/>
              <w:autoSpaceDE/>
              <w:autoSpaceDN/>
              <w:adjustRightInd/>
              <w:spacing w:after="120"/>
              <w:ind w:firstLineChars="0"/>
              <w:textAlignment w:val="auto"/>
              <w:rPr>
                <w:rFonts w:eastAsia="宋体"/>
                <w:bCs/>
                <w:sz w:val="20"/>
                <w:szCs w:val="20"/>
                <w:lang w:eastAsia="zh-CN"/>
              </w:rPr>
            </w:pPr>
            <w:r>
              <w:rPr>
                <w:rFonts w:eastAsia="宋体"/>
                <w:sz w:val="20"/>
                <w:szCs w:val="20"/>
                <w:lang w:eastAsia="zh-CN"/>
              </w:rPr>
              <w:t>FFS whether any restrictions on ARFCN for SSB locations for SCell SSB need to be defined</w:t>
            </w:r>
          </w:p>
          <w:p>
            <w:pPr>
              <w:pStyle w:val="34"/>
              <w:numPr>
                <w:ilvl w:val="1"/>
                <w:numId w:val="9"/>
              </w:numPr>
              <w:overflowPunct/>
              <w:autoSpaceDE/>
              <w:autoSpaceDN/>
              <w:adjustRightInd/>
              <w:spacing w:after="120"/>
              <w:ind w:firstLineChars="0"/>
              <w:textAlignment w:val="auto"/>
              <w:rPr>
                <w:rFonts w:eastAsia="宋体"/>
                <w:bCs/>
                <w:sz w:val="20"/>
                <w:szCs w:val="20"/>
                <w:lang w:eastAsia="zh-CN"/>
              </w:rPr>
            </w:pPr>
            <w:r>
              <w:rPr>
                <w:rFonts w:eastAsia="宋体"/>
                <w:bCs/>
                <w:sz w:val="20"/>
                <w:szCs w:val="20"/>
                <w:lang w:eastAsia="zh-CN"/>
              </w:rPr>
              <w:t xml:space="preserve">Option 1: </w:t>
            </w:r>
            <w:r>
              <w:rPr>
                <w:rFonts w:eastAsia="宋体"/>
                <w:sz w:val="20"/>
                <w:szCs w:val="20"/>
                <w:lang w:eastAsia="zh-CN"/>
              </w:rPr>
              <w:t>Require less than 5 MHz SCell to be associated with the new sync raster points for less than 5MHz, similar as PCell.</w:t>
            </w:r>
          </w:p>
          <w:p>
            <w:pPr>
              <w:pStyle w:val="34"/>
              <w:numPr>
                <w:ilvl w:val="1"/>
                <w:numId w:val="9"/>
              </w:numPr>
              <w:overflowPunct/>
              <w:autoSpaceDE/>
              <w:autoSpaceDN/>
              <w:adjustRightInd/>
              <w:spacing w:after="120"/>
              <w:ind w:firstLineChars="0"/>
              <w:textAlignment w:val="auto"/>
              <w:rPr>
                <w:rFonts w:eastAsia="宋体"/>
                <w:bCs/>
                <w:sz w:val="20"/>
                <w:szCs w:val="20"/>
                <w:lang w:eastAsia="zh-CN"/>
              </w:rPr>
            </w:pPr>
            <w:r>
              <w:rPr>
                <w:rFonts w:eastAsia="宋体"/>
                <w:sz w:val="20"/>
                <w:szCs w:val="20"/>
                <w:lang w:eastAsia="zh-CN"/>
              </w:rPr>
              <w:t>Other options are not precluded</w:t>
            </w:r>
          </w:p>
          <w:p>
            <w:pPr>
              <w:pStyle w:val="34"/>
              <w:numPr>
                <w:ilvl w:val="0"/>
                <w:numId w:val="0"/>
              </w:numPr>
              <w:overflowPunct w:val="0"/>
              <w:autoSpaceDE w:val="0"/>
              <w:autoSpaceDN w:val="0"/>
              <w:adjustRightInd w:val="0"/>
              <w:spacing w:after="180"/>
              <w:textAlignment w:val="baseline"/>
              <w:rPr>
                <w:rFonts w:hint="default"/>
                <w:b/>
                <w:bCs/>
                <w:i/>
                <w:iCs/>
                <w:sz w:val="20"/>
                <w:szCs w:val="20"/>
                <w:vertAlign w:val="baseline"/>
                <w:lang w:val="en-US" w:eastAsia="zh-CN"/>
              </w:rPr>
            </w:pPr>
          </w:p>
        </w:tc>
      </w:tr>
    </w:tbl>
    <w:p>
      <w:pPr>
        <w:jc w:val="left"/>
        <w:rPr>
          <w:rFonts w:hint="default"/>
          <w:sz w:val="20"/>
          <w:szCs w:val="20"/>
          <w:lang w:val="en-US" w:eastAsia="zh-CN"/>
        </w:rPr>
      </w:pPr>
      <w:r>
        <w:rPr>
          <w:rFonts w:hint="eastAsia"/>
          <w:sz w:val="20"/>
          <w:szCs w:val="20"/>
          <w:lang w:val="en-US" w:eastAsia="zh-CN"/>
        </w:rPr>
        <w:t>The above is WF in last meeting [2], there are two issues left to be discussed. For the first issue, according to the UE features introduced for support less than 5 MHz channel bandwidth in Rel-18 [3], they are all per band and optional with capability signalling. From our understanding, support CA/DC with 3MHz CBW in the one band and 5MHz or 10MHz CBW in the other band should be based on Rel-18 UE capability of supporting less than 5 MHz channel bandwidth, which is listed as the following table. However, it specified that this feature is applicable only to single-carrier operation. Hence, it is necessary to update Rel-18 UE capability signalling to enable less than 5 MHz CBW operation for CA/DC.</w:t>
      </w:r>
    </w:p>
    <w:p>
      <w:pPr>
        <w:jc w:val="left"/>
        <w:rPr>
          <w:rFonts w:hint="eastAsia"/>
          <w:b/>
          <w:bCs/>
          <w:i w:val="0"/>
          <w:iCs w:val="0"/>
          <w:sz w:val="20"/>
          <w:szCs w:val="20"/>
          <w:lang w:val="en-US" w:eastAsia="zh-CN"/>
        </w:rPr>
      </w:pPr>
      <w:r>
        <w:rPr>
          <w:rFonts w:hint="eastAsia"/>
          <w:b/>
          <w:bCs/>
          <w:i w:val="0"/>
          <w:iCs w:val="0"/>
          <w:sz w:val="20"/>
          <w:szCs w:val="20"/>
          <w:lang w:val="en-US" w:eastAsia="zh-CN"/>
        </w:rPr>
        <w:t>Proposal 1: It is necessary to update Rel-18 UE capability signalling to enable less than 5 MHz CBW operation for CA/DC.</w:t>
      </w:r>
    </w:p>
    <w:tbl>
      <w:tblPr>
        <w:tblStyle w:val="23"/>
        <w:tblW w:w="9888"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88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888" w:type="dxa"/>
          </w:tcPr>
          <w:p>
            <w:pPr>
              <w:pStyle w:val="58"/>
              <w:pageBreakBefore w:val="0"/>
              <w:widowControl/>
              <w:kinsoku/>
              <w:wordWrap/>
              <w:overflowPunct/>
              <w:topLinePunct w:val="0"/>
              <w:autoSpaceDE/>
              <w:autoSpaceDN/>
              <w:bidi w:val="0"/>
              <w:adjustRightInd/>
              <w:snapToGrid/>
              <w:spacing w:line="240" w:lineRule="auto"/>
              <w:textAlignment w:val="auto"/>
              <w:rPr>
                <w:b/>
                <w:bCs/>
                <w:i/>
                <w:iCs/>
                <w:sz w:val="16"/>
                <w:szCs w:val="16"/>
              </w:rPr>
            </w:pPr>
            <w:r>
              <w:rPr>
                <w:b/>
                <w:bCs/>
                <w:i/>
                <w:iCs/>
                <w:sz w:val="16"/>
                <w:szCs w:val="16"/>
              </w:rPr>
              <w:t>support12PRB-CORESET0-r18</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 xml:space="preserve">Indicates whether the UE supports reception of 12 PRB CORESET0 </w:t>
            </w:r>
            <w:r>
              <w:rPr>
                <w:rFonts w:cs="Arial"/>
                <w:sz w:val="16"/>
                <w:szCs w:val="16"/>
              </w:rPr>
              <w:t>with an associated SS/PBCH block that is located according to Table 5.4.3.1-2 in TS 38.101-1 [2]</w:t>
            </w:r>
            <w:r>
              <w:rPr>
                <w:sz w:val="16"/>
                <w:szCs w:val="16"/>
              </w:rPr>
              <w:t>.</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 xml:space="preserve">A UE supporting this feature shall also indicate support of </w:t>
            </w:r>
            <w:r>
              <w:rPr>
                <w:i/>
                <w:iCs/>
                <w:sz w:val="16"/>
                <w:szCs w:val="16"/>
              </w:rPr>
              <w:t>support-3MHz-ChannelBW-Symmetric-r18</w:t>
            </w:r>
            <w:r>
              <w:rPr>
                <w:sz w:val="16"/>
                <w:szCs w:val="16"/>
              </w:rPr>
              <w:t>.</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This feature is supported for 15kHz SCS only.</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highlight w:val="yellow"/>
              </w:rPr>
              <w:t>This feature is only applicable to single-carrier operation</w:t>
            </w:r>
            <w:r>
              <w:rPr>
                <w:sz w:val="16"/>
                <w:szCs w:val="16"/>
              </w:rPr>
              <w:t>.</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 xml:space="preserve">This feature is not applicable to UEs indicating </w:t>
            </w:r>
            <w:r>
              <w:rPr>
                <w:i/>
                <w:iCs/>
                <w:sz w:val="16"/>
                <w:szCs w:val="16"/>
              </w:rPr>
              <w:t>supportOfRedCap-r17</w:t>
            </w:r>
            <w:r>
              <w:rPr>
                <w:sz w:val="16"/>
                <w:szCs w:val="16"/>
              </w:rPr>
              <w:t xml:space="preserve"> or </w:t>
            </w:r>
            <w:r>
              <w:rPr>
                <w:i/>
                <w:iCs/>
                <w:sz w:val="16"/>
                <w:szCs w:val="16"/>
              </w:rPr>
              <w:t>supportOfERedCap-r18</w:t>
            </w:r>
            <w:r>
              <w:rPr>
                <w:sz w:val="16"/>
                <w:szCs w:val="16"/>
              </w:rPr>
              <w:t>.</w:t>
            </w:r>
          </w:p>
          <w:p>
            <w:pPr>
              <w:pStyle w:val="70"/>
              <w:pageBreakBefore w:val="0"/>
              <w:widowControl/>
              <w:kinsoku/>
              <w:wordWrap/>
              <w:overflowPunct/>
              <w:topLinePunct w:val="0"/>
              <w:autoSpaceDE/>
              <w:autoSpaceDN/>
              <w:bidi w:val="0"/>
              <w:adjustRightInd/>
              <w:snapToGrid/>
              <w:spacing w:line="240" w:lineRule="auto"/>
              <w:textAlignment w:val="auto"/>
              <w:rPr>
                <w:b/>
                <w:bCs/>
                <w:i/>
                <w:iCs/>
                <w:sz w:val="16"/>
                <w:szCs w:val="16"/>
              </w:rPr>
            </w:pPr>
            <w:r>
              <w:rPr>
                <w:rFonts w:eastAsia="MS Mincho"/>
                <w:sz w:val="16"/>
                <w:szCs w:val="16"/>
              </w:rPr>
              <w:t>NOTE:</w:t>
            </w:r>
            <w:r>
              <w:rPr>
                <w:rFonts w:cs="Arial"/>
                <w:sz w:val="16"/>
                <w:szCs w:val="16"/>
              </w:rPr>
              <w:tab/>
            </w:r>
            <w:r>
              <w:rPr>
                <w:rFonts w:eastAsia="MS Mincho"/>
                <w:sz w:val="16"/>
                <w:szCs w:val="16"/>
              </w:rPr>
              <w:t>The UE supporting this capability supports configuration of 12 PRB BWP operation.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888" w:type="dxa"/>
          </w:tcPr>
          <w:p>
            <w:pPr>
              <w:pStyle w:val="58"/>
              <w:pageBreakBefore w:val="0"/>
              <w:widowControl/>
              <w:kinsoku/>
              <w:wordWrap/>
              <w:overflowPunct/>
              <w:topLinePunct w:val="0"/>
              <w:autoSpaceDE/>
              <w:autoSpaceDN/>
              <w:bidi w:val="0"/>
              <w:adjustRightInd/>
              <w:snapToGrid/>
              <w:spacing w:line="240" w:lineRule="auto"/>
              <w:textAlignment w:val="auto"/>
              <w:rPr>
                <w:b/>
                <w:bCs/>
                <w:i/>
                <w:iCs/>
                <w:sz w:val="16"/>
                <w:szCs w:val="16"/>
              </w:rPr>
            </w:pPr>
            <w:r>
              <w:rPr>
                <w:b/>
                <w:bCs/>
                <w:i/>
                <w:iCs/>
                <w:sz w:val="16"/>
                <w:szCs w:val="16"/>
              </w:rPr>
              <w:t>support3MHz-ChannelBW-Asymmetric-r18</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Indicates whether the UE supports 3 MHz channel bandwidth in uplink with larger than 3 MHz channel BW in DL, including s</w:t>
            </w:r>
            <w:r>
              <w:rPr>
                <w:rFonts w:eastAsia="宋体" w:cs="Arial"/>
                <w:sz w:val="16"/>
                <w:szCs w:val="16"/>
                <w:lang w:eastAsia="zh-CN"/>
              </w:rPr>
              <w:t>hort RACH preamble formats with 15kHz SCS, and long PRACH formats with 1.25kHz SCS.</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 xml:space="preserve">This feature is supported for 15kHz SCS only. </w:t>
            </w:r>
            <w:r>
              <w:rPr>
                <w:sz w:val="16"/>
                <w:szCs w:val="16"/>
                <w:highlight w:val="yellow"/>
              </w:rPr>
              <w:t>It is applicable only to single-carrier operation</w:t>
            </w:r>
            <w:r>
              <w:rPr>
                <w:sz w:val="16"/>
                <w:szCs w:val="16"/>
              </w:rPr>
              <w:t xml:space="preserve"> and applies to bands where the UE indicates support for </w:t>
            </w:r>
            <w:r>
              <w:rPr>
                <w:i/>
                <w:iCs/>
                <w:sz w:val="16"/>
                <w:szCs w:val="16"/>
              </w:rPr>
              <w:t>asymmetricBandwidthCombinationSet</w:t>
            </w:r>
            <w:r>
              <w:rPr>
                <w:sz w:val="16"/>
                <w:szCs w:val="16"/>
              </w:rPr>
              <w:t xml:space="preserve"> with 3 MHz UL according to clause 5.3.6 of TS 38.101-1 [2].</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 xml:space="preserve">This feature is not applicable to UEs indicating </w:t>
            </w:r>
            <w:r>
              <w:rPr>
                <w:i/>
                <w:iCs/>
                <w:sz w:val="16"/>
                <w:szCs w:val="16"/>
              </w:rPr>
              <w:t>supportOfRedCap-r17</w:t>
            </w:r>
            <w:r>
              <w:rPr>
                <w:sz w:val="16"/>
                <w:szCs w:val="16"/>
              </w:rPr>
              <w:t xml:space="preserve"> or </w:t>
            </w:r>
            <w:r>
              <w:rPr>
                <w:i/>
                <w:iCs/>
                <w:sz w:val="16"/>
                <w:szCs w:val="16"/>
              </w:rPr>
              <w:t>supportOfERedCap-r18</w:t>
            </w:r>
            <w:r>
              <w:rPr>
                <w:sz w:val="16"/>
                <w:szCs w:val="16"/>
              </w:rPr>
              <w:t>.</w:t>
            </w:r>
          </w:p>
          <w:p>
            <w:pPr>
              <w:pStyle w:val="70"/>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NOTE 1:</w:t>
            </w:r>
            <w:r>
              <w:rPr>
                <w:rFonts w:cs="Arial"/>
                <w:sz w:val="16"/>
                <w:szCs w:val="16"/>
              </w:rPr>
              <w:tab/>
            </w:r>
            <w:r>
              <w:rPr>
                <w:sz w:val="16"/>
                <w:szCs w:val="16"/>
              </w:rPr>
              <w:t>The UE supporting this feature supports configuration of 15 PRB UL BWP operation.</w:t>
            </w:r>
          </w:p>
          <w:p>
            <w:pPr>
              <w:pStyle w:val="70"/>
              <w:pageBreakBefore w:val="0"/>
              <w:widowControl/>
              <w:kinsoku/>
              <w:wordWrap/>
              <w:overflowPunct/>
              <w:topLinePunct w:val="0"/>
              <w:autoSpaceDE/>
              <w:autoSpaceDN/>
              <w:bidi w:val="0"/>
              <w:adjustRightInd/>
              <w:snapToGrid/>
              <w:spacing w:line="240" w:lineRule="auto"/>
              <w:textAlignment w:val="auto"/>
              <w:rPr>
                <w:b/>
                <w:bCs/>
                <w:i/>
                <w:iCs/>
                <w:sz w:val="16"/>
                <w:szCs w:val="16"/>
              </w:rPr>
            </w:pPr>
            <w:r>
              <w:rPr>
                <w:sz w:val="16"/>
                <w:szCs w:val="16"/>
              </w:rPr>
              <w:t>NOTE 2:</w:t>
            </w:r>
            <w:r>
              <w:rPr>
                <w:rFonts w:cs="Arial"/>
                <w:sz w:val="16"/>
                <w:szCs w:val="16"/>
              </w:rPr>
              <w:tab/>
            </w:r>
            <w:r>
              <w:rPr>
                <w:sz w:val="16"/>
                <w:szCs w:val="16"/>
              </w:rPr>
              <w:t xml:space="preserve">If the UE indicates support in </w:t>
            </w:r>
            <w:r>
              <w:rPr>
                <w:i/>
                <w:iCs/>
                <w:sz w:val="16"/>
                <w:szCs w:val="16"/>
              </w:rPr>
              <w:t>asymmetricBandwidthCombinationSet</w:t>
            </w:r>
            <w:r>
              <w:rPr>
                <w:sz w:val="16"/>
                <w:szCs w:val="16"/>
              </w:rPr>
              <w:t xml:space="preserve"> for a 3MHz UL in a band according to clause 5.3.6 of 38.101-1 [2], this feature shall be indicated for the band.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888" w:type="dxa"/>
          </w:tcPr>
          <w:p>
            <w:pPr>
              <w:pStyle w:val="58"/>
              <w:pageBreakBefore w:val="0"/>
              <w:widowControl/>
              <w:kinsoku/>
              <w:wordWrap/>
              <w:overflowPunct/>
              <w:topLinePunct w:val="0"/>
              <w:autoSpaceDE/>
              <w:autoSpaceDN/>
              <w:bidi w:val="0"/>
              <w:adjustRightInd/>
              <w:snapToGrid/>
              <w:spacing w:line="240" w:lineRule="auto"/>
              <w:textAlignment w:val="auto"/>
              <w:rPr>
                <w:b/>
                <w:bCs/>
                <w:i/>
                <w:iCs/>
                <w:sz w:val="16"/>
                <w:szCs w:val="16"/>
              </w:rPr>
            </w:pPr>
            <w:r>
              <w:rPr>
                <w:b/>
                <w:bCs/>
                <w:i/>
                <w:iCs/>
                <w:sz w:val="16"/>
                <w:szCs w:val="16"/>
              </w:rPr>
              <w:t>support3MHz-ChannelBW-Symmetric-r18</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Indicates whether the UE supports 3 MHz symmetric channel bandwidth in DL and UL, including the following functional components:</w:t>
            </w:r>
          </w:p>
          <w:p>
            <w:pPr>
              <w:pStyle w:val="47"/>
              <w:pageBreakBefore w:val="0"/>
              <w:widowControl/>
              <w:kinsoku/>
              <w:wordWrap/>
              <w:overflowPunct/>
              <w:topLinePunct w:val="0"/>
              <w:autoSpaceDE/>
              <w:autoSpaceDN/>
              <w:bidi w:val="0"/>
              <w:adjustRightInd/>
              <w:snapToGrid/>
              <w:spacing w:after="0" w:line="240" w:lineRule="auto"/>
              <w:textAlignment w:val="auto"/>
              <w:rPr>
                <w:rFonts w:ascii="Arial" w:hAnsi="Arial" w:cs="Arial"/>
                <w:sz w:val="16"/>
                <w:szCs w:val="16"/>
              </w:rPr>
            </w:pPr>
            <w:r>
              <w:rPr>
                <w:rFonts w:ascii="Arial" w:hAnsi="Arial" w:cs="Arial"/>
                <w:i/>
                <w:iCs/>
                <w:sz w:val="16"/>
                <w:szCs w:val="16"/>
              </w:rPr>
              <w:t>-</w:t>
            </w:r>
            <w:r>
              <w:rPr>
                <w:rFonts w:ascii="Arial" w:hAnsi="Arial" w:cs="Arial"/>
                <w:sz w:val="16"/>
                <w:szCs w:val="16"/>
              </w:rPr>
              <w:tab/>
            </w:r>
            <w:r>
              <w:rPr>
                <w:rFonts w:ascii="Arial" w:hAnsi="Arial" w:cs="Arial"/>
                <w:sz w:val="16"/>
                <w:szCs w:val="16"/>
              </w:rPr>
              <w:t>Reception of 12 PRB PBCH based on RB-level puncturing;</w:t>
            </w:r>
          </w:p>
          <w:p>
            <w:pPr>
              <w:pStyle w:val="47"/>
              <w:pageBreakBefore w:val="0"/>
              <w:widowControl/>
              <w:kinsoku/>
              <w:wordWrap/>
              <w:overflowPunct/>
              <w:topLinePunct w:val="0"/>
              <w:autoSpaceDE/>
              <w:autoSpaceDN/>
              <w:bidi w:val="0"/>
              <w:adjustRightInd/>
              <w:snapToGrid/>
              <w:spacing w:after="0" w:line="240" w:lineRule="auto"/>
              <w:textAlignment w:val="auto"/>
              <w:rPr>
                <w:rFonts w:ascii="Arial" w:hAnsi="Arial" w:cs="Arial"/>
                <w:sz w:val="16"/>
                <w:szCs w:val="16"/>
              </w:rPr>
            </w:pPr>
            <w:r>
              <w:rPr>
                <w:rFonts w:ascii="Arial" w:hAnsi="Arial" w:cs="Arial"/>
                <w:i/>
                <w:iCs/>
                <w:sz w:val="16"/>
                <w:szCs w:val="16"/>
              </w:rPr>
              <w:t>-</w:t>
            </w:r>
            <w:r>
              <w:rPr>
                <w:rFonts w:ascii="Arial" w:hAnsi="Arial" w:cs="Arial"/>
                <w:sz w:val="16"/>
                <w:szCs w:val="16"/>
              </w:rPr>
              <w:tab/>
            </w:r>
            <w:r>
              <w:rPr>
                <w:rFonts w:ascii="Arial" w:hAnsi="Arial" w:cs="Arial"/>
                <w:sz w:val="16"/>
                <w:szCs w:val="16"/>
              </w:rPr>
              <w:t>Short RACH preamble formats with 15kHz SCS, and long PRACH formats with 1.25kHz SCS;</w:t>
            </w:r>
          </w:p>
          <w:p>
            <w:pPr>
              <w:pStyle w:val="47"/>
              <w:pageBreakBefore w:val="0"/>
              <w:widowControl/>
              <w:kinsoku/>
              <w:wordWrap/>
              <w:overflowPunct/>
              <w:topLinePunct w:val="0"/>
              <w:autoSpaceDE/>
              <w:autoSpaceDN/>
              <w:bidi w:val="0"/>
              <w:adjustRightInd/>
              <w:snapToGrid/>
              <w:spacing w:after="0" w:line="240" w:lineRule="auto"/>
              <w:textAlignment w:val="auto"/>
              <w:rPr>
                <w:rFonts w:ascii="Arial" w:hAnsi="Arial" w:cs="Arial"/>
                <w:sz w:val="16"/>
                <w:szCs w:val="16"/>
              </w:rPr>
            </w:pPr>
            <w:r>
              <w:rPr>
                <w:rFonts w:ascii="Arial" w:hAnsi="Arial" w:cs="Arial"/>
                <w:i/>
                <w:iCs/>
                <w:sz w:val="16"/>
                <w:szCs w:val="16"/>
              </w:rPr>
              <w:t>-</w:t>
            </w:r>
            <w:r>
              <w:rPr>
                <w:rFonts w:ascii="Arial" w:hAnsi="Arial" w:cs="Arial"/>
                <w:sz w:val="16"/>
                <w:szCs w:val="16"/>
              </w:rPr>
              <w:tab/>
            </w:r>
            <w:r>
              <w:rPr>
                <w:rFonts w:ascii="Arial" w:hAnsi="Arial" w:cs="Arial"/>
                <w:sz w:val="16"/>
                <w:szCs w:val="16"/>
              </w:rPr>
              <w:t>Reception of 15 PRB CORESET0.</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 xml:space="preserve">This feature is supported for 15kHz SCS only. </w:t>
            </w:r>
            <w:r>
              <w:rPr>
                <w:sz w:val="16"/>
                <w:szCs w:val="16"/>
                <w:highlight w:val="yellow"/>
              </w:rPr>
              <w:t>It is applicable only to single-carrier operation</w:t>
            </w:r>
            <w:r>
              <w:rPr>
                <w:sz w:val="16"/>
                <w:szCs w:val="16"/>
              </w:rPr>
              <w:t xml:space="preserve"> and when an associated SS/PBCH block is located according to Table 5.4.3.3-2 in TS 38.101-1 [2].</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 xml:space="preserve">This feature is not applicable to UEs indicating </w:t>
            </w:r>
            <w:r>
              <w:rPr>
                <w:i/>
                <w:iCs/>
                <w:sz w:val="16"/>
                <w:szCs w:val="16"/>
              </w:rPr>
              <w:t>supportOfRedCap-r17</w:t>
            </w:r>
            <w:r>
              <w:rPr>
                <w:sz w:val="16"/>
                <w:szCs w:val="16"/>
              </w:rPr>
              <w:t xml:space="preserve"> or </w:t>
            </w:r>
            <w:r>
              <w:rPr>
                <w:i/>
                <w:iCs/>
                <w:sz w:val="16"/>
                <w:szCs w:val="16"/>
              </w:rPr>
              <w:t>supportOfERedCap-r18</w:t>
            </w:r>
            <w:r>
              <w:rPr>
                <w:sz w:val="16"/>
                <w:szCs w:val="16"/>
              </w:rPr>
              <w:t>.</w:t>
            </w:r>
          </w:p>
          <w:p>
            <w:pPr>
              <w:pStyle w:val="70"/>
              <w:pageBreakBefore w:val="0"/>
              <w:widowControl/>
              <w:kinsoku/>
              <w:wordWrap/>
              <w:overflowPunct/>
              <w:topLinePunct w:val="0"/>
              <w:autoSpaceDE/>
              <w:autoSpaceDN/>
              <w:bidi w:val="0"/>
              <w:adjustRightInd/>
              <w:snapToGrid/>
              <w:spacing w:line="240" w:lineRule="auto"/>
              <w:textAlignment w:val="auto"/>
              <w:rPr>
                <w:b/>
                <w:bCs/>
                <w:i/>
                <w:iCs/>
                <w:sz w:val="16"/>
                <w:szCs w:val="16"/>
              </w:rPr>
            </w:pPr>
            <w:r>
              <w:rPr>
                <w:sz w:val="16"/>
                <w:szCs w:val="16"/>
              </w:rPr>
              <w:t>NOTE:</w:t>
            </w:r>
            <w:r>
              <w:rPr>
                <w:rFonts w:cs="Arial"/>
                <w:sz w:val="16"/>
                <w:szCs w:val="16"/>
              </w:rPr>
              <w:tab/>
            </w:r>
            <w:r>
              <w:rPr>
                <w:sz w:val="16"/>
                <w:szCs w:val="16"/>
              </w:rPr>
              <w:t>The UE supporting this capability supports configuration of 15 PRB BWP operation in DL and UL.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888" w:type="dxa"/>
            <w:vAlign w:val="top"/>
          </w:tcPr>
          <w:p>
            <w:pPr>
              <w:pStyle w:val="58"/>
              <w:pageBreakBefore w:val="0"/>
              <w:widowControl/>
              <w:kinsoku/>
              <w:wordWrap/>
              <w:overflowPunct/>
              <w:topLinePunct w:val="0"/>
              <w:autoSpaceDE/>
              <w:autoSpaceDN/>
              <w:bidi w:val="0"/>
              <w:adjustRightInd/>
              <w:snapToGrid/>
              <w:spacing w:line="240" w:lineRule="auto"/>
              <w:textAlignment w:val="auto"/>
              <w:rPr>
                <w:b/>
                <w:i/>
                <w:sz w:val="16"/>
                <w:szCs w:val="16"/>
              </w:rPr>
            </w:pPr>
            <w:r>
              <w:rPr>
                <w:b/>
                <w:i/>
                <w:sz w:val="16"/>
                <w:szCs w:val="16"/>
              </w:rPr>
              <w:t>support5MHz-ChannelBW-20PRB-CORESET0-r18</w:t>
            </w:r>
          </w:p>
          <w:p>
            <w:pPr>
              <w:pStyle w:val="58"/>
              <w:pageBreakBefore w:val="0"/>
              <w:widowControl/>
              <w:kinsoku/>
              <w:wordWrap/>
              <w:overflowPunct/>
              <w:topLinePunct w:val="0"/>
              <w:autoSpaceDE/>
              <w:autoSpaceDN/>
              <w:bidi w:val="0"/>
              <w:adjustRightInd/>
              <w:snapToGrid/>
              <w:spacing w:line="240" w:lineRule="auto"/>
              <w:textAlignment w:val="auto"/>
              <w:rPr>
                <w:rFonts w:eastAsia="MS Mincho" w:cs="Arial"/>
                <w:sz w:val="16"/>
                <w:szCs w:val="16"/>
              </w:rPr>
            </w:pPr>
            <w:r>
              <w:rPr>
                <w:sz w:val="16"/>
                <w:szCs w:val="16"/>
              </w:rPr>
              <w:t>Indicates whether the UE supports short RACH preamble formats with 15kHz SCS, and long PRACH formats with 1.25kHz SCS, and the reception of 20 PRB CORESET0.</w:t>
            </w:r>
            <w:r>
              <w:rPr>
                <w:rFonts w:eastAsia="MS Mincho" w:cs="Arial"/>
                <w:sz w:val="16"/>
                <w:szCs w:val="16"/>
              </w:rPr>
              <w:t xml:space="preserve"> This feature is supported for 15 kHz SCS only.</w:t>
            </w:r>
          </w:p>
          <w:p>
            <w:pPr>
              <w:pStyle w:val="58"/>
              <w:pageBreakBefore w:val="0"/>
              <w:widowControl/>
              <w:kinsoku/>
              <w:wordWrap/>
              <w:overflowPunct/>
              <w:topLinePunct w:val="0"/>
              <w:autoSpaceDE/>
              <w:autoSpaceDN/>
              <w:bidi w:val="0"/>
              <w:adjustRightInd/>
              <w:snapToGrid/>
              <w:spacing w:line="240" w:lineRule="auto"/>
              <w:textAlignment w:val="auto"/>
              <w:rPr>
                <w:rFonts w:eastAsia="MS Mincho" w:cs="Arial"/>
                <w:sz w:val="16"/>
                <w:szCs w:val="16"/>
              </w:rPr>
            </w:pPr>
            <w:r>
              <w:rPr>
                <w:rFonts w:eastAsia="MS Mincho" w:cs="Arial"/>
                <w:sz w:val="16"/>
                <w:szCs w:val="16"/>
              </w:rPr>
              <w:t>This feature is only applicable when an associated SS/PBCH block is located in band n100 at GSCN 41638 of Table 5.4.3.1-3 in TS 38.101-1 [2].</w:t>
            </w:r>
          </w:p>
          <w:p>
            <w:pPr>
              <w:keepNext/>
              <w:keepLines/>
              <w:pageBreakBefore w:val="0"/>
              <w:widowControl/>
              <w:kinsoku/>
              <w:wordWrap/>
              <w:overflowPunct/>
              <w:topLinePunct w:val="0"/>
              <w:autoSpaceDE/>
              <w:autoSpaceDN/>
              <w:bidi w:val="0"/>
              <w:adjustRightInd/>
              <w:snapToGrid/>
              <w:spacing w:line="240" w:lineRule="auto"/>
              <w:textAlignment w:val="auto"/>
              <w:rPr>
                <w:rFonts w:ascii="Arial" w:hAnsi="Arial" w:eastAsia="MS Mincho" w:cs="Arial"/>
                <w:sz w:val="16"/>
                <w:szCs w:val="16"/>
                <w:highlight w:val="yellow"/>
              </w:rPr>
            </w:pPr>
            <w:r>
              <w:rPr>
                <w:rFonts w:ascii="Arial" w:hAnsi="Arial" w:eastAsia="MS Mincho" w:cs="Arial"/>
                <w:sz w:val="16"/>
                <w:szCs w:val="16"/>
                <w:highlight w:val="yellow"/>
              </w:rPr>
              <w:t>This feature is only applicable to single-carrier operation.</w:t>
            </w:r>
          </w:p>
          <w:p>
            <w:pPr>
              <w:pStyle w:val="58"/>
              <w:pageBreakBefore w:val="0"/>
              <w:widowControl/>
              <w:kinsoku/>
              <w:wordWrap/>
              <w:overflowPunct/>
              <w:topLinePunct w:val="0"/>
              <w:autoSpaceDE/>
              <w:autoSpaceDN/>
              <w:bidi w:val="0"/>
              <w:adjustRightInd/>
              <w:snapToGrid/>
              <w:spacing w:line="240" w:lineRule="auto"/>
              <w:textAlignment w:val="auto"/>
              <w:rPr>
                <w:rFonts w:eastAsia="MS Mincho" w:cs="Arial"/>
                <w:sz w:val="16"/>
                <w:szCs w:val="16"/>
              </w:rPr>
            </w:pPr>
            <w:r>
              <w:rPr>
                <w:rFonts w:eastAsia="MS Mincho" w:cs="Arial"/>
                <w:sz w:val="16"/>
                <w:szCs w:val="16"/>
              </w:rPr>
              <w:t xml:space="preserve">This feature is not applicable to UEs indicating </w:t>
            </w:r>
            <w:r>
              <w:rPr>
                <w:rFonts w:eastAsia="MS Mincho" w:cs="Arial"/>
                <w:i/>
                <w:iCs/>
                <w:sz w:val="16"/>
                <w:szCs w:val="16"/>
              </w:rPr>
              <w:t>supportOfRedCap-r17</w:t>
            </w:r>
            <w:r>
              <w:rPr>
                <w:rFonts w:eastAsia="MS Mincho" w:cs="Arial"/>
                <w:sz w:val="16"/>
                <w:szCs w:val="16"/>
              </w:rPr>
              <w:t xml:space="preserve"> or </w:t>
            </w:r>
            <w:r>
              <w:rPr>
                <w:rFonts w:eastAsia="MS Mincho" w:cs="Arial"/>
                <w:i/>
                <w:iCs/>
                <w:sz w:val="16"/>
                <w:szCs w:val="16"/>
              </w:rPr>
              <w:t>supportOfERedCap-r18</w:t>
            </w:r>
            <w:r>
              <w:rPr>
                <w:rFonts w:eastAsia="MS Mincho" w:cs="Arial"/>
                <w:sz w:val="16"/>
                <w:szCs w:val="16"/>
              </w:rPr>
              <w:t>.</w:t>
            </w:r>
          </w:p>
          <w:p>
            <w:pPr>
              <w:pStyle w:val="63"/>
              <w:pageBreakBefore w:val="0"/>
              <w:widowControl/>
              <w:kinsoku/>
              <w:wordWrap/>
              <w:overflowPunct/>
              <w:topLinePunct w:val="0"/>
              <w:autoSpaceDE/>
              <w:autoSpaceDN/>
              <w:bidi w:val="0"/>
              <w:adjustRightInd/>
              <w:snapToGrid/>
              <w:spacing w:after="0" w:line="240" w:lineRule="auto"/>
              <w:ind w:left="885" w:leftChars="0" w:hanging="851" w:firstLineChars="0"/>
              <w:textAlignment w:val="auto"/>
              <w:rPr>
                <w:sz w:val="16"/>
                <w:szCs w:val="16"/>
              </w:rPr>
            </w:pPr>
            <w:r>
              <w:rPr>
                <w:rFonts w:ascii="Arial" w:hAnsi="Arial" w:cs="Arial"/>
                <w:sz w:val="16"/>
                <w:szCs w:val="16"/>
              </w:rPr>
              <w:t>NOTE:</w:t>
            </w:r>
            <w:r>
              <w:rPr>
                <w:rFonts w:ascii="Arial" w:hAnsi="Arial" w:cs="Arial"/>
                <w:sz w:val="16"/>
                <w:szCs w:val="16"/>
              </w:rPr>
              <w:tab/>
            </w:r>
            <w:r>
              <w:rPr>
                <w:rFonts w:ascii="Arial" w:hAnsi="Arial" w:cs="Arial"/>
                <w:sz w:val="16"/>
                <w:szCs w:val="16"/>
              </w:rPr>
              <w:t>The UE supporting this feature supports configuration of 20 PRB BWP operation.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888" w:type="dxa"/>
            <w:vAlign w:val="top"/>
          </w:tcPr>
          <w:p>
            <w:pPr>
              <w:pStyle w:val="58"/>
              <w:pageBreakBefore w:val="0"/>
              <w:widowControl/>
              <w:kinsoku/>
              <w:wordWrap/>
              <w:overflowPunct/>
              <w:topLinePunct w:val="0"/>
              <w:autoSpaceDE/>
              <w:autoSpaceDN/>
              <w:bidi w:val="0"/>
              <w:adjustRightInd/>
              <w:snapToGrid/>
              <w:spacing w:line="240" w:lineRule="auto"/>
              <w:textAlignment w:val="auto"/>
              <w:rPr>
                <w:b/>
                <w:i/>
                <w:sz w:val="16"/>
                <w:szCs w:val="16"/>
              </w:rPr>
            </w:pPr>
            <w:r>
              <w:rPr>
                <w:b/>
                <w:i/>
                <w:sz w:val="16"/>
                <w:szCs w:val="16"/>
              </w:rPr>
              <w:t>support12PRB-CORESET0-GSCN-41637-r18</w:t>
            </w:r>
          </w:p>
          <w:p>
            <w:pPr>
              <w:pStyle w:val="58"/>
              <w:pageBreakBefore w:val="0"/>
              <w:widowControl/>
              <w:kinsoku/>
              <w:wordWrap/>
              <w:overflowPunct/>
              <w:topLinePunct w:val="0"/>
              <w:autoSpaceDE/>
              <w:autoSpaceDN/>
              <w:bidi w:val="0"/>
              <w:adjustRightInd/>
              <w:snapToGrid/>
              <w:spacing w:line="240" w:lineRule="auto"/>
              <w:textAlignment w:val="auto"/>
              <w:rPr>
                <w:rFonts w:eastAsia="MS Mincho" w:cs="Arial"/>
                <w:sz w:val="16"/>
                <w:szCs w:val="16"/>
              </w:rPr>
            </w:pPr>
            <w:r>
              <w:rPr>
                <w:bCs/>
                <w:iCs/>
                <w:sz w:val="16"/>
                <w:szCs w:val="16"/>
              </w:rPr>
              <w:t xml:space="preserve">Indicates whether the UE supports reception of </w:t>
            </w:r>
            <w:r>
              <w:rPr>
                <w:rFonts w:eastAsia="MS Mincho" w:cs="Arial"/>
                <w:sz w:val="16"/>
                <w:szCs w:val="16"/>
              </w:rPr>
              <w:t>12 PRB CORESET0 with an associated SS/PBCH block located at GSCN 41637.</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rFonts w:eastAsia="MS Mincho" w:cs="Arial"/>
                <w:sz w:val="16"/>
                <w:szCs w:val="16"/>
              </w:rPr>
              <w:t xml:space="preserve">A UE supporting this feature shall also indicate support of </w:t>
            </w:r>
            <w:r>
              <w:rPr>
                <w:i/>
                <w:iCs/>
                <w:sz w:val="16"/>
                <w:szCs w:val="16"/>
              </w:rPr>
              <w:t>support3MHz-ChannelBW-Symmetric-r18</w:t>
            </w:r>
            <w:r>
              <w:rPr>
                <w:rFonts w:eastAsia="MS Mincho" w:cs="Arial"/>
                <w:sz w:val="16"/>
                <w:szCs w:val="16"/>
              </w:rPr>
              <w:t xml:space="preserve">. </w:t>
            </w:r>
            <w:r>
              <w:rPr>
                <w:sz w:val="16"/>
                <w:szCs w:val="16"/>
              </w:rPr>
              <w:t>This feature is supported for 15 kHz SCS only.</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This feature is only applicable when an associated SS/PBCH block is located in band n100 at GSCN 41637 of Table 5.4.3.1-3 in TS 38.101-1 [2].</w:t>
            </w:r>
          </w:p>
          <w:p>
            <w:pPr>
              <w:pStyle w:val="70"/>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NOTE:</w:t>
            </w:r>
            <w:r>
              <w:rPr>
                <w:rFonts w:cs="Arial"/>
                <w:sz w:val="16"/>
                <w:szCs w:val="16"/>
              </w:rPr>
              <w:tab/>
            </w:r>
            <w:r>
              <w:rPr>
                <w:sz w:val="16"/>
                <w:szCs w:val="16"/>
              </w:rPr>
              <w:t>The UE supporting this FG supports configuration of 12 PRB BWP operation.</w:t>
            </w:r>
          </w:p>
          <w:p>
            <w:pPr>
              <w:pStyle w:val="58"/>
              <w:pageBreakBefore w:val="0"/>
              <w:widowControl/>
              <w:kinsoku/>
              <w:wordWrap/>
              <w:overflowPunct/>
              <w:topLinePunct w:val="0"/>
              <w:autoSpaceDE/>
              <w:autoSpaceDN/>
              <w:bidi w:val="0"/>
              <w:adjustRightInd/>
              <w:snapToGrid/>
              <w:spacing w:line="240" w:lineRule="auto"/>
              <w:textAlignment w:val="auto"/>
              <w:rPr>
                <w:sz w:val="16"/>
                <w:szCs w:val="16"/>
                <w:highlight w:val="yellow"/>
              </w:rPr>
            </w:pPr>
            <w:r>
              <w:rPr>
                <w:sz w:val="16"/>
                <w:szCs w:val="16"/>
                <w:highlight w:val="yellow"/>
              </w:rPr>
              <w:t>This feature is only applicable to single-carrier operation.</w:t>
            </w:r>
          </w:p>
          <w:p>
            <w:pPr>
              <w:pStyle w:val="58"/>
              <w:pageBreakBefore w:val="0"/>
              <w:widowControl/>
              <w:kinsoku/>
              <w:wordWrap/>
              <w:overflowPunct/>
              <w:topLinePunct w:val="0"/>
              <w:autoSpaceDE/>
              <w:autoSpaceDN/>
              <w:bidi w:val="0"/>
              <w:adjustRightInd/>
              <w:snapToGrid/>
              <w:spacing w:line="240" w:lineRule="auto"/>
              <w:textAlignment w:val="auto"/>
              <w:rPr>
                <w:sz w:val="16"/>
                <w:szCs w:val="16"/>
              </w:rPr>
            </w:pPr>
            <w:r>
              <w:rPr>
                <w:sz w:val="16"/>
                <w:szCs w:val="16"/>
              </w:rPr>
              <w:t xml:space="preserve">This feature is not applicable to UEs indicating </w:t>
            </w:r>
            <w:r>
              <w:rPr>
                <w:i/>
                <w:iCs/>
                <w:sz w:val="16"/>
                <w:szCs w:val="16"/>
              </w:rPr>
              <w:t>supportOfRedCap-r17</w:t>
            </w:r>
            <w:r>
              <w:rPr>
                <w:sz w:val="16"/>
                <w:szCs w:val="16"/>
              </w:rPr>
              <w:t xml:space="preserve"> or </w:t>
            </w:r>
            <w:r>
              <w:rPr>
                <w:i/>
                <w:iCs/>
                <w:sz w:val="16"/>
                <w:szCs w:val="16"/>
              </w:rPr>
              <w:t>supportOfERedCap-r18</w:t>
            </w:r>
            <w:r>
              <w:rPr>
                <w:sz w:val="16"/>
                <w:szCs w:val="16"/>
              </w:rPr>
              <w:t>.</w:t>
            </w:r>
          </w:p>
        </w:tc>
      </w:tr>
    </w:tbl>
    <w:p>
      <w:pPr>
        <w:jc w:val="left"/>
        <w:rPr>
          <w:rFonts w:hint="default" w:eastAsia="宋体"/>
          <w:sz w:val="20"/>
          <w:szCs w:val="20"/>
          <w:lang w:val="en-US" w:eastAsia="zh-CN"/>
        </w:rPr>
      </w:pPr>
      <w:r>
        <w:rPr>
          <w:rFonts w:hint="eastAsia"/>
          <w:sz w:val="20"/>
          <w:szCs w:val="20"/>
          <w:lang w:val="en-US" w:eastAsia="zh-CN"/>
        </w:rPr>
        <w:t xml:space="preserve">The transmission bandwidth of SCell is indicated in </w:t>
      </w:r>
      <w:r>
        <w:rPr>
          <w:rFonts w:hint="eastAsia"/>
          <w:i/>
          <w:iCs/>
          <w:sz w:val="20"/>
          <w:szCs w:val="20"/>
          <w:lang w:val="en-US" w:eastAsia="zh-CN"/>
        </w:rPr>
        <w:t>carrierBandwidth</w:t>
      </w:r>
      <w:r>
        <w:rPr>
          <w:rFonts w:hint="eastAsia"/>
          <w:sz w:val="20"/>
          <w:szCs w:val="20"/>
          <w:lang w:val="en-US" w:eastAsia="zh-CN"/>
        </w:rPr>
        <w:t xml:space="preserve"> through </w:t>
      </w:r>
      <w:r>
        <w:rPr>
          <w:rFonts w:eastAsia="Malgun Gothic"/>
          <w:i/>
          <w:iCs/>
          <w:sz w:val="20"/>
          <w:szCs w:val="20"/>
        </w:rPr>
        <w:t>SCellConfig &gt; ServingCellConfigCommon &gt; DownlinkConfigCommon &gt; FrequencyInfoDL &gt; SCS-SpecificCarrier &gt; carrierBandwidth</w:t>
      </w:r>
      <w:r>
        <w:rPr>
          <w:rFonts w:hint="eastAsia"/>
          <w:sz w:val="20"/>
          <w:szCs w:val="20"/>
          <w:lang w:val="en-US" w:eastAsia="zh-CN"/>
        </w:rPr>
        <w:t xml:space="preserve">. </w:t>
      </w:r>
      <w:r>
        <w:rPr>
          <w:rFonts w:hint="eastAsia" w:eastAsia="宋体"/>
          <w:i w:val="0"/>
          <w:iCs w:val="0"/>
          <w:sz w:val="20"/>
          <w:szCs w:val="20"/>
          <w:lang w:val="en-US" w:eastAsia="zh-CN"/>
        </w:rPr>
        <w:t xml:space="preserve">According to the description of </w:t>
      </w:r>
      <w:r>
        <w:rPr>
          <w:rFonts w:hint="eastAsia" w:eastAsia="宋体"/>
          <w:i/>
          <w:iCs/>
          <w:sz w:val="20"/>
          <w:szCs w:val="20"/>
          <w:lang w:val="en-US" w:eastAsia="zh-CN"/>
        </w:rPr>
        <w:t>carrierBandwidth</w:t>
      </w:r>
      <w:r>
        <w:rPr>
          <w:rFonts w:hint="eastAsia" w:eastAsia="宋体"/>
          <w:i w:val="0"/>
          <w:iCs w:val="0"/>
          <w:sz w:val="20"/>
          <w:szCs w:val="20"/>
          <w:lang w:val="en-US" w:eastAsia="zh-CN"/>
        </w:rPr>
        <w:t xml:space="preserve"> in TS 38.331, which is copied in the following table, it means that the width of carrier can be any number of PRBs. So, </w:t>
      </w:r>
      <w:r>
        <w:rPr>
          <w:rFonts w:hint="eastAsia"/>
          <w:sz w:val="20"/>
          <w:szCs w:val="20"/>
          <w:lang w:val="en-US" w:eastAsia="zh-CN"/>
        </w:rPr>
        <w:t>for 12 PRB or 20 PRB transmission bandwidth for 3MHz or 5MHz CBW, it will be indicated by</w:t>
      </w:r>
      <w:r>
        <w:rPr>
          <w:rFonts w:hint="eastAsia" w:eastAsia="宋体"/>
          <w:i w:val="0"/>
          <w:iCs w:val="0"/>
          <w:sz w:val="20"/>
          <w:szCs w:val="20"/>
          <w:lang w:val="en-US" w:eastAsia="zh-CN"/>
        </w:rPr>
        <w:t xml:space="preserve"> </w:t>
      </w:r>
      <w:r>
        <w:rPr>
          <w:rFonts w:hint="eastAsia"/>
          <w:i/>
          <w:iCs/>
          <w:sz w:val="20"/>
          <w:szCs w:val="20"/>
          <w:lang w:val="en-US" w:eastAsia="zh-CN"/>
        </w:rPr>
        <w:t>carrierBandwidth</w:t>
      </w:r>
      <w:r>
        <w:rPr>
          <w:rFonts w:hint="eastAsia"/>
          <w:sz w:val="20"/>
          <w:szCs w:val="20"/>
          <w:lang w:val="en-US" w:eastAsia="zh-CN"/>
        </w:rPr>
        <w:t xml:space="preserve"> for SCell.</w:t>
      </w:r>
    </w:p>
    <w:tbl>
      <w:tblPr>
        <w:tblStyle w:val="23"/>
        <w:tblW w:w="98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7" w:type="dxa"/>
            <w:tcBorders>
              <w:top w:val="single" w:color="auto" w:sz="4" w:space="0"/>
              <w:left w:val="single" w:color="auto" w:sz="4" w:space="0"/>
              <w:bottom w:val="single" w:color="auto" w:sz="4" w:space="0"/>
              <w:right w:val="single" w:color="auto" w:sz="4" w:space="0"/>
            </w:tcBorders>
          </w:tcPr>
          <w:p>
            <w:pPr>
              <w:pStyle w:val="65"/>
              <w:rPr>
                <w:rFonts w:eastAsia="MS Mincho"/>
                <w:szCs w:val="22"/>
                <w:lang w:eastAsia="sv-SE"/>
              </w:rPr>
            </w:pPr>
            <w:r>
              <w:rPr>
                <w:rFonts w:eastAsia="MS Mincho"/>
                <w:i/>
                <w:szCs w:val="22"/>
                <w:lang w:eastAsia="sv-SE"/>
              </w:rPr>
              <w:t xml:space="preserve">SCS-SpecificCarrier </w:t>
            </w:r>
            <w:r>
              <w:rPr>
                <w:rFonts w:eastAsia="MS Mincho"/>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7" w:type="dxa"/>
            <w:tcBorders>
              <w:top w:val="single" w:color="auto" w:sz="4" w:space="0"/>
              <w:left w:val="single" w:color="auto" w:sz="4" w:space="0"/>
              <w:bottom w:val="single" w:color="auto" w:sz="4" w:space="0"/>
              <w:right w:val="single" w:color="auto" w:sz="4" w:space="0"/>
            </w:tcBorders>
          </w:tcPr>
          <w:p>
            <w:pPr>
              <w:pStyle w:val="58"/>
              <w:rPr>
                <w:rFonts w:eastAsia="MS Mincho"/>
                <w:szCs w:val="22"/>
                <w:lang w:eastAsia="sv-SE"/>
              </w:rPr>
            </w:pPr>
            <w:r>
              <w:rPr>
                <w:rFonts w:eastAsia="MS Mincho"/>
                <w:b/>
                <w:i/>
                <w:szCs w:val="22"/>
                <w:lang w:eastAsia="sv-SE"/>
              </w:rPr>
              <w:t>carrierBandwidth</w:t>
            </w:r>
          </w:p>
          <w:p>
            <w:pPr>
              <w:pStyle w:val="58"/>
              <w:rPr>
                <w:rFonts w:eastAsia="MS Mincho"/>
                <w:szCs w:val="22"/>
                <w:lang w:eastAsia="sv-SE"/>
              </w:rPr>
            </w:pPr>
            <w:r>
              <w:rPr>
                <w:rFonts w:eastAsia="MS Mincho"/>
                <w:szCs w:val="22"/>
                <w:lang w:eastAsia="sv-SE"/>
              </w:rPr>
              <w:t xml:space="preserve">Width of this carrier in number of PRBs (using the </w:t>
            </w:r>
            <w:r>
              <w:rPr>
                <w:rFonts w:eastAsia="MS Mincho"/>
                <w:i/>
                <w:szCs w:val="22"/>
                <w:lang w:eastAsia="sv-SE"/>
              </w:rPr>
              <w:t>subcarrierSpacing</w:t>
            </w:r>
            <w:r>
              <w:rPr>
                <w:rFonts w:eastAsia="MS Mincho"/>
                <w:szCs w:val="22"/>
                <w:lang w:eastAsia="sv-SE"/>
              </w:rPr>
              <w:t xml:space="preserve"> defined for this carrier) (see TS 38.211 [16], clause 4.4.2).</w:t>
            </w:r>
          </w:p>
        </w:tc>
      </w:tr>
    </w:tbl>
    <w:p>
      <w:pPr>
        <w:rPr>
          <w:rFonts w:hint="eastAsia" w:eastAsia="宋体"/>
          <w:b/>
          <w:bCs/>
          <w:i w:val="0"/>
          <w:iCs w:val="0"/>
          <w:sz w:val="20"/>
          <w:szCs w:val="20"/>
          <w:lang w:val="en-US" w:eastAsia="zh-CN"/>
        </w:rPr>
      </w:pPr>
      <w:r>
        <w:rPr>
          <w:rFonts w:hint="eastAsia"/>
          <w:b/>
          <w:bCs/>
          <w:i w:val="0"/>
          <w:iCs w:val="0"/>
          <w:sz w:val="20"/>
          <w:szCs w:val="20"/>
          <w:lang w:val="en-US" w:eastAsia="zh-CN"/>
        </w:rPr>
        <w:t xml:space="preserve">Observation 1: </w:t>
      </w:r>
      <w:r>
        <w:rPr>
          <w:rFonts w:hint="eastAsia" w:eastAsia="宋体"/>
          <w:b/>
          <w:bCs/>
          <w:i/>
          <w:iCs/>
          <w:sz w:val="20"/>
          <w:szCs w:val="20"/>
          <w:lang w:val="en-US" w:eastAsia="zh-CN"/>
        </w:rPr>
        <w:t>C</w:t>
      </w:r>
      <w:r>
        <w:rPr>
          <w:rFonts w:eastAsia="Malgun Gothic"/>
          <w:b/>
          <w:bCs/>
          <w:i/>
          <w:iCs/>
          <w:sz w:val="20"/>
          <w:szCs w:val="20"/>
        </w:rPr>
        <w:t>arrierBandwidth</w:t>
      </w:r>
      <w:r>
        <w:rPr>
          <w:rFonts w:hint="eastAsia" w:eastAsia="宋体"/>
          <w:b/>
          <w:bCs/>
          <w:i w:val="0"/>
          <w:iCs w:val="0"/>
          <w:sz w:val="20"/>
          <w:szCs w:val="20"/>
          <w:lang w:val="en-US" w:eastAsia="zh-CN"/>
        </w:rPr>
        <w:t xml:space="preserve"> means the width of carrier can be any number of PRBs, and 12 PRB or 20 PRB transmission bandwidth for 3MHz or 5MHz CBW will be indicated by carrierBandwidth for SCell.</w:t>
      </w:r>
    </w:p>
    <w:p>
      <w:pPr>
        <w:jc w:val="left"/>
        <w:rPr>
          <w:rFonts w:hint="eastAsia"/>
          <w:sz w:val="20"/>
          <w:szCs w:val="20"/>
          <w:lang w:val="en-US" w:eastAsia="zh-CN"/>
        </w:rPr>
      </w:pPr>
      <w:r>
        <w:rPr>
          <w:rFonts w:hint="eastAsia"/>
          <w:sz w:val="20"/>
          <w:szCs w:val="20"/>
          <w:lang w:val="en-US" w:eastAsia="zh-CN"/>
        </w:rPr>
        <w:t>For the second issue, one of the motivations of new sync raster points is for UE to distinguish 12RB PBCH and 20RB PBCH, which means new sync raster is associated with PBCH bandwidth. If UE is not required to be in the new sync raster points as usual in the case of CA and SCell with less than 5MHz, it may use the frequencies same as legacy sync raster points, and result in UE cannot identify PBCH bandwidth and cannot read SSB. Hence, it</w:t>
      </w:r>
      <w:r>
        <w:rPr>
          <w:rFonts w:hint="default"/>
          <w:sz w:val="20"/>
          <w:szCs w:val="20"/>
          <w:lang w:val="en-US" w:eastAsia="zh-CN"/>
        </w:rPr>
        <w:t>’</w:t>
      </w:r>
      <w:r>
        <w:rPr>
          <w:rFonts w:hint="eastAsia"/>
          <w:sz w:val="20"/>
          <w:szCs w:val="20"/>
          <w:lang w:val="en-US" w:eastAsia="zh-CN"/>
        </w:rPr>
        <w:t>s proposed to require less than 5 MHz SCell to be associated with the new sync raster points for less than 5MHz, similar as PCell.</w:t>
      </w:r>
    </w:p>
    <w:p>
      <w:pPr>
        <w:jc w:val="left"/>
        <w:rPr>
          <w:rFonts w:hint="default"/>
          <w:sz w:val="20"/>
          <w:szCs w:val="20"/>
          <w:lang w:val="en-US" w:eastAsia="zh-CN"/>
        </w:rPr>
      </w:pPr>
      <w:r>
        <w:rPr>
          <w:rFonts w:hint="eastAsia"/>
          <w:b/>
          <w:bCs/>
          <w:i w:val="0"/>
          <w:iCs w:val="0"/>
          <w:sz w:val="20"/>
          <w:szCs w:val="20"/>
          <w:lang w:val="en-US" w:eastAsia="zh-CN"/>
        </w:rPr>
        <w:t>Proposal 2: It</w:t>
      </w:r>
      <w:r>
        <w:rPr>
          <w:rFonts w:hint="default"/>
          <w:b/>
          <w:bCs/>
          <w:i w:val="0"/>
          <w:iCs w:val="0"/>
          <w:sz w:val="20"/>
          <w:szCs w:val="20"/>
          <w:lang w:val="en-US" w:eastAsia="zh-CN"/>
        </w:rPr>
        <w:t>’</w:t>
      </w:r>
      <w:r>
        <w:rPr>
          <w:rFonts w:hint="eastAsia"/>
          <w:b/>
          <w:bCs/>
          <w:i w:val="0"/>
          <w:iCs w:val="0"/>
          <w:sz w:val="20"/>
          <w:szCs w:val="20"/>
          <w:lang w:val="en-US" w:eastAsia="zh-CN"/>
        </w:rPr>
        <w:t>s proposed to require less than 5 MHz SCell to be associated with the new sync raster points for less than 5MHz, similar as PCell.</w:t>
      </w:r>
    </w:p>
    <w:p>
      <w:pPr>
        <w:rPr>
          <w:rFonts w:hint="eastAsia"/>
          <w:b/>
          <w:bCs/>
          <w:i/>
          <w:iCs/>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 xml:space="preserve">power boosting and/or MPR reduction </w:t>
      </w:r>
      <w:r>
        <w:rPr>
          <w:rFonts w:hint="eastAsia" w:ascii="Times New Roman" w:hAnsi="Times New Roman" w:eastAsia="宋体" w:cs="Times New Roman"/>
          <w:b w:val="0"/>
          <w:bCs w:val="0"/>
          <w:kern w:val="0"/>
          <w:sz w:val="20"/>
          <w:szCs w:val="20"/>
          <w:highlight w:val="none"/>
          <w:lang w:val="en-US" w:eastAsia="zh-CN" w:bidi="ar-SA"/>
        </w:rPr>
        <w:t>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jc w:val="left"/>
        <w:rPr>
          <w:rFonts w:hint="eastAsia"/>
          <w:b/>
          <w:bCs/>
          <w:i w:val="0"/>
          <w:iCs w:val="0"/>
          <w:sz w:val="20"/>
          <w:szCs w:val="20"/>
          <w:lang w:val="en-US" w:eastAsia="zh-CN"/>
        </w:rPr>
      </w:pPr>
      <w:r>
        <w:rPr>
          <w:rFonts w:hint="eastAsia"/>
          <w:b/>
          <w:bCs/>
          <w:i w:val="0"/>
          <w:iCs w:val="0"/>
          <w:sz w:val="20"/>
          <w:szCs w:val="20"/>
          <w:lang w:val="en-US" w:eastAsia="zh-CN"/>
        </w:rPr>
        <w:t>Proposal 1: It is necessary to update Rel-18 UE capability signalling to enable less than 5 MHz CBW operation for CA/DC.</w:t>
      </w:r>
    </w:p>
    <w:p>
      <w:pPr>
        <w:rPr>
          <w:rFonts w:hint="eastAsia" w:eastAsia="宋体"/>
          <w:b/>
          <w:bCs/>
          <w:i w:val="0"/>
          <w:iCs w:val="0"/>
          <w:sz w:val="20"/>
          <w:szCs w:val="20"/>
          <w:lang w:val="en-US" w:eastAsia="zh-CN"/>
        </w:rPr>
      </w:pPr>
      <w:r>
        <w:rPr>
          <w:rFonts w:hint="eastAsia"/>
          <w:b/>
          <w:bCs/>
          <w:i w:val="0"/>
          <w:iCs w:val="0"/>
          <w:sz w:val="20"/>
          <w:szCs w:val="20"/>
          <w:lang w:val="en-US" w:eastAsia="zh-CN"/>
        </w:rPr>
        <w:t xml:space="preserve">Observation 1: </w:t>
      </w:r>
      <w:r>
        <w:rPr>
          <w:rFonts w:hint="eastAsia" w:eastAsia="宋体"/>
          <w:b/>
          <w:bCs/>
          <w:i/>
          <w:iCs/>
          <w:sz w:val="20"/>
          <w:szCs w:val="20"/>
          <w:lang w:val="en-US" w:eastAsia="zh-CN"/>
        </w:rPr>
        <w:t>C</w:t>
      </w:r>
      <w:r>
        <w:rPr>
          <w:rFonts w:eastAsia="Malgun Gothic"/>
          <w:b/>
          <w:bCs/>
          <w:i/>
          <w:iCs/>
          <w:sz w:val="20"/>
          <w:szCs w:val="20"/>
        </w:rPr>
        <w:t>arrierBandwidth</w:t>
      </w:r>
      <w:r>
        <w:rPr>
          <w:rFonts w:hint="eastAsia" w:eastAsia="宋体"/>
          <w:b/>
          <w:bCs/>
          <w:i w:val="0"/>
          <w:iCs w:val="0"/>
          <w:sz w:val="20"/>
          <w:szCs w:val="20"/>
          <w:lang w:val="en-US" w:eastAsia="zh-CN"/>
        </w:rPr>
        <w:t xml:space="preserve"> means the width of carrier can be any number of PRBs, and 12 PRB or 20 PRB transmission bandwidth for 3MHz or 5MHz CBW will be indicated by carrierBandwidth for SCell.</w:t>
      </w:r>
    </w:p>
    <w:p>
      <w:pPr>
        <w:jc w:val="left"/>
        <w:rPr>
          <w:rFonts w:hint="default"/>
          <w:sz w:val="20"/>
          <w:szCs w:val="20"/>
          <w:lang w:val="en-US" w:eastAsia="zh-CN"/>
        </w:rPr>
      </w:pPr>
      <w:r>
        <w:rPr>
          <w:rFonts w:hint="eastAsia"/>
          <w:b/>
          <w:bCs/>
          <w:i w:val="0"/>
          <w:iCs w:val="0"/>
          <w:sz w:val="20"/>
          <w:szCs w:val="20"/>
          <w:lang w:val="en-US" w:eastAsia="zh-CN"/>
        </w:rPr>
        <w:t>Proposal 2: It</w:t>
      </w:r>
      <w:r>
        <w:rPr>
          <w:rFonts w:hint="default"/>
          <w:b/>
          <w:bCs/>
          <w:i w:val="0"/>
          <w:iCs w:val="0"/>
          <w:sz w:val="20"/>
          <w:szCs w:val="20"/>
          <w:lang w:val="en-US" w:eastAsia="zh-CN"/>
        </w:rPr>
        <w:t>’</w:t>
      </w:r>
      <w:r>
        <w:rPr>
          <w:rFonts w:hint="eastAsia"/>
          <w:b/>
          <w:bCs/>
          <w:i w:val="0"/>
          <w:iCs w:val="0"/>
          <w:sz w:val="20"/>
          <w:szCs w:val="20"/>
          <w:lang w:val="en-US" w:eastAsia="zh-CN"/>
        </w:rPr>
        <w:t>s proposed to require less than 5 MHz SCell to be associated with the new sync raster points for less than 5MHz, similar as PCell.</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pStyle w:val="12"/>
        <w:jc w:val="both"/>
        <w:rPr>
          <w:sz w:val="20"/>
          <w:szCs w:val="20"/>
        </w:rPr>
      </w:pPr>
      <w:r>
        <w:rPr>
          <w:rFonts w:hint="eastAsia"/>
          <w:sz w:val="20"/>
          <w:szCs w:val="20"/>
        </w:rPr>
        <w:t>RP-2</w:t>
      </w:r>
      <w:r>
        <w:rPr>
          <w:rFonts w:hint="eastAsia"/>
          <w:sz w:val="20"/>
          <w:szCs w:val="20"/>
          <w:lang w:val="en-US" w:eastAsia="zh-CN"/>
        </w:rPr>
        <w:t>40832</w:t>
      </w:r>
      <w:r>
        <w:rPr>
          <w:rFonts w:hint="eastAsia"/>
          <w:sz w:val="20"/>
          <w:szCs w:val="20"/>
        </w:rPr>
        <w:t xml:space="preserve">, New WID: WI resulting from discussion on NR channel BW less than 5MHz for TN, </w:t>
      </w:r>
      <w:r>
        <w:rPr>
          <w:rFonts w:hint="eastAsia"/>
          <w:sz w:val="20"/>
          <w:szCs w:val="20"/>
          <w:lang w:val="en-US" w:eastAsia="zh-CN"/>
        </w:rPr>
        <w:t>vivo</w:t>
      </w:r>
    </w:p>
    <w:p>
      <w:pPr>
        <w:pStyle w:val="12"/>
        <w:jc w:val="both"/>
        <w:rPr>
          <w:sz w:val="20"/>
          <w:szCs w:val="20"/>
        </w:rPr>
      </w:pPr>
      <w:r>
        <w:rPr>
          <w:rFonts w:hint="eastAsia"/>
          <w:sz w:val="20"/>
          <w:szCs w:val="20"/>
          <w:lang w:val="en-US" w:eastAsia="zh-CN"/>
        </w:rPr>
        <w:t xml:space="preserve">R4-2410602, </w:t>
      </w:r>
      <w:r>
        <w:rPr>
          <w:rFonts w:hint="eastAsia"/>
          <w:sz w:val="20"/>
          <w:szCs w:val="20"/>
        </w:rPr>
        <w:t>WF on UE RF requirements for Rel-19 less than 5MHz</w:t>
      </w:r>
      <w:r>
        <w:rPr>
          <w:rFonts w:hint="eastAsia"/>
          <w:sz w:val="20"/>
          <w:szCs w:val="20"/>
          <w:lang w:val="en-US" w:eastAsia="zh-CN"/>
        </w:rPr>
        <w:t>, Intel</w:t>
      </w:r>
    </w:p>
    <w:p>
      <w:pPr>
        <w:pStyle w:val="12"/>
        <w:jc w:val="both"/>
        <w:rPr>
          <w:sz w:val="20"/>
          <w:szCs w:val="20"/>
        </w:rPr>
      </w:pPr>
      <w:r>
        <w:rPr>
          <w:rFonts w:hint="eastAsia"/>
          <w:sz w:val="20"/>
          <w:szCs w:val="20"/>
        </w:rPr>
        <w:t>R4-2</w:t>
      </w:r>
      <w:r>
        <w:rPr>
          <w:rFonts w:hint="eastAsia"/>
          <w:sz w:val="20"/>
          <w:szCs w:val="20"/>
          <w:lang w:val="en-US" w:eastAsia="zh-CN"/>
        </w:rPr>
        <w:t>312572, Updated RAN1 UE features list for Rel-18 NR after RAN1#115, AT&amp;T, NTT DOCOMO, INC.</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5">
    <w:nsid w:val="49452662"/>
    <w:multiLevelType w:val="multilevel"/>
    <w:tmpl w:val="4945266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2"/>
  </w:num>
  <w:num w:numId="2">
    <w:abstractNumId w:val="8"/>
  </w:num>
  <w:num w:numId="3">
    <w:abstractNumId w:val="7"/>
  </w:num>
  <w:num w:numId="4">
    <w:abstractNumId w:val="3"/>
  </w:num>
  <w:num w:numId="5">
    <w:abstractNumId w:val="4"/>
  </w:num>
  <w:num w:numId="6">
    <w:abstractNumId w:val="1"/>
  </w:num>
  <w:num w:numId="7">
    <w:abstractNumId w:val="0"/>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54FE9"/>
    <w:rsid w:val="018E207B"/>
    <w:rsid w:val="0190283E"/>
    <w:rsid w:val="019275F2"/>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D16C80"/>
    <w:rsid w:val="02DC3F9C"/>
    <w:rsid w:val="02E3105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45E8F"/>
    <w:rsid w:val="03496C64"/>
    <w:rsid w:val="035154D3"/>
    <w:rsid w:val="03527C38"/>
    <w:rsid w:val="0356746F"/>
    <w:rsid w:val="0360259A"/>
    <w:rsid w:val="036522E7"/>
    <w:rsid w:val="036E37C2"/>
    <w:rsid w:val="03746F87"/>
    <w:rsid w:val="037C6EF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142BDC"/>
    <w:rsid w:val="04242D1B"/>
    <w:rsid w:val="04251A4C"/>
    <w:rsid w:val="042D2E97"/>
    <w:rsid w:val="04305EA0"/>
    <w:rsid w:val="04310833"/>
    <w:rsid w:val="04343921"/>
    <w:rsid w:val="04346443"/>
    <w:rsid w:val="043865BF"/>
    <w:rsid w:val="043A14AD"/>
    <w:rsid w:val="044C78D8"/>
    <w:rsid w:val="04537B11"/>
    <w:rsid w:val="04684A28"/>
    <w:rsid w:val="046C0EAE"/>
    <w:rsid w:val="04782230"/>
    <w:rsid w:val="0479507E"/>
    <w:rsid w:val="04894975"/>
    <w:rsid w:val="04922411"/>
    <w:rsid w:val="04A65723"/>
    <w:rsid w:val="04B14B03"/>
    <w:rsid w:val="04CF6607"/>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7D1D66"/>
    <w:rsid w:val="059D265F"/>
    <w:rsid w:val="059E1515"/>
    <w:rsid w:val="05AD1B88"/>
    <w:rsid w:val="05B92EC1"/>
    <w:rsid w:val="05D05BD2"/>
    <w:rsid w:val="05DB542B"/>
    <w:rsid w:val="05E078B3"/>
    <w:rsid w:val="05E942A3"/>
    <w:rsid w:val="05EA759F"/>
    <w:rsid w:val="05EE6827"/>
    <w:rsid w:val="0601277E"/>
    <w:rsid w:val="060C5AED"/>
    <w:rsid w:val="06103146"/>
    <w:rsid w:val="06172561"/>
    <w:rsid w:val="061E54DA"/>
    <w:rsid w:val="061E5E22"/>
    <w:rsid w:val="06223FD1"/>
    <w:rsid w:val="062B2FCF"/>
    <w:rsid w:val="063F63E4"/>
    <w:rsid w:val="06460B91"/>
    <w:rsid w:val="0654187C"/>
    <w:rsid w:val="065475DE"/>
    <w:rsid w:val="06556C03"/>
    <w:rsid w:val="06676354"/>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9002B"/>
    <w:rsid w:val="089B79D9"/>
    <w:rsid w:val="08A44DA6"/>
    <w:rsid w:val="08AA245A"/>
    <w:rsid w:val="08AD2ACC"/>
    <w:rsid w:val="08BA6E24"/>
    <w:rsid w:val="08C024D5"/>
    <w:rsid w:val="08C562FD"/>
    <w:rsid w:val="08CA27B1"/>
    <w:rsid w:val="08E916DF"/>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8143BC"/>
    <w:rsid w:val="098500F1"/>
    <w:rsid w:val="0992510E"/>
    <w:rsid w:val="09B33AE4"/>
    <w:rsid w:val="09BD407A"/>
    <w:rsid w:val="09BF125C"/>
    <w:rsid w:val="09C12CF5"/>
    <w:rsid w:val="09D948FE"/>
    <w:rsid w:val="09DA0E26"/>
    <w:rsid w:val="09DB6437"/>
    <w:rsid w:val="09E55691"/>
    <w:rsid w:val="09F67CD5"/>
    <w:rsid w:val="0A054821"/>
    <w:rsid w:val="0A077A43"/>
    <w:rsid w:val="0A0835C8"/>
    <w:rsid w:val="0A145721"/>
    <w:rsid w:val="0A355EAA"/>
    <w:rsid w:val="0A3708FF"/>
    <w:rsid w:val="0A3B01F9"/>
    <w:rsid w:val="0A3F0488"/>
    <w:rsid w:val="0A402A36"/>
    <w:rsid w:val="0A4236A3"/>
    <w:rsid w:val="0A4E7EF5"/>
    <w:rsid w:val="0A596130"/>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D25E6"/>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1C2E6E"/>
    <w:rsid w:val="0D4B44A1"/>
    <w:rsid w:val="0D6811B4"/>
    <w:rsid w:val="0D6E2620"/>
    <w:rsid w:val="0D704E21"/>
    <w:rsid w:val="0D7F48FE"/>
    <w:rsid w:val="0D883C88"/>
    <w:rsid w:val="0D8A6002"/>
    <w:rsid w:val="0D9074CF"/>
    <w:rsid w:val="0D936E72"/>
    <w:rsid w:val="0D966BF7"/>
    <w:rsid w:val="0DB54F84"/>
    <w:rsid w:val="0DB84465"/>
    <w:rsid w:val="0DCC3AE8"/>
    <w:rsid w:val="0DD87842"/>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40C1C"/>
    <w:rsid w:val="0EAA759E"/>
    <w:rsid w:val="0EAF381F"/>
    <w:rsid w:val="0EB72E4B"/>
    <w:rsid w:val="0ECE6156"/>
    <w:rsid w:val="0EEC6F1D"/>
    <w:rsid w:val="0F0621F6"/>
    <w:rsid w:val="0F103291"/>
    <w:rsid w:val="0F15660A"/>
    <w:rsid w:val="0F1D0EA6"/>
    <w:rsid w:val="0F1D498B"/>
    <w:rsid w:val="0F22242C"/>
    <w:rsid w:val="0F337178"/>
    <w:rsid w:val="0F3B15FC"/>
    <w:rsid w:val="0F41022A"/>
    <w:rsid w:val="0F56743B"/>
    <w:rsid w:val="0F60682C"/>
    <w:rsid w:val="0F661944"/>
    <w:rsid w:val="0F6763D9"/>
    <w:rsid w:val="0F715B2B"/>
    <w:rsid w:val="0F744211"/>
    <w:rsid w:val="0F764270"/>
    <w:rsid w:val="0F7F273F"/>
    <w:rsid w:val="0F7F7919"/>
    <w:rsid w:val="0F8418ED"/>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02A44"/>
    <w:rsid w:val="10F52718"/>
    <w:rsid w:val="10F70AE6"/>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97A08"/>
    <w:rsid w:val="11921373"/>
    <w:rsid w:val="119A72EE"/>
    <w:rsid w:val="119D7849"/>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6532DD"/>
    <w:rsid w:val="12680E73"/>
    <w:rsid w:val="12763466"/>
    <w:rsid w:val="127E5AA6"/>
    <w:rsid w:val="12811F99"/>
    <w:rsid w:val="128B2749"/>
    <w:rsid w:val="128E1E81"/>
    <w:rsid w:val="129019B5"/>
    <w:rsid w:val="129811DB"/>
    <w:rsid w:val="129937EE"/>
    <w:rsid w:val="129E6282"/>
    <w:rsid w:val="129F3A3A"/>
    <w:rsid w:val="12AA7237"/>
    <w:rsid w:val="12AB7A32"/>
    <w:rsid w:val="12BB6535"/>
    <w:rsid w:val="12C7312B"/>
    <w:rsid w:val="12D22971"/>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4806E1"/>
    <w:rsid w:val="154D342A"/>
    <w:rsid w:val="15581ED5"/>
    <w:rsid w:val="1559587F"/>
    <w:rsid w:val="155E7DEC"/>
    <w:rsid w:val="15740334"/>
    <w:rsid w:val="1574662E"/>
    <w:rsid w:val="15751882"/>
    <w:rsid w:val="1575191B"/>
    <w:rsid w:val="157818C6"/>
    <w:rsid w:val="159F73BB"/>
    <w:rsid w:val="15B03F28"/>
    <w:rsid w:val="15C15E25"/>
    <w:rsid w:val="15C42571"/>
    <w:rsid w:val="15E30A80"/>
    <w:rsid w:val="15F21B9E"/>
    <w:rsid w:val="15FD2FA2"/>
    <w:rsid w:val="16021A7C"/>
    <w:rsid w:val="1608480E"/>
    <w:rsid w:val="161C1C58"/>
    <w:rsid w:val="162B27CD"/>
    <w:rsid w:val="162D7415"/>
    <w:rsid w:val="162F755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031772"/>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56393"/>
    <w:rsid w:val="18A8582C"/>
    <w:rsid w:val="18B50543"/>
    <w:rsid w:val="18CA40C3"/>
    <w:rsid w:val="18CD7A02"/>
    <w:rsid w:val="18D904AC"/>
    <w:rsid w:val="18DC1AEF"/>
    <w:rsid w:val="18F74015"/>
    <w:rsid w:val="19001FFC"/>
    <w:rsid w:val="19083894"/>
    <w:rsid w:val="190E2B4A"/>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10451"/>
    <w:rsid w:val="1A4858FF"/>
    <w:rsid w:val="1A4C698A"/>
    <w:rsid w:val="1A4D778D"/>
    <w:rsid w:val="1A5D5219"/>
    <w:rsid w:val="1A5E4B5A"/>
    <w:rsid w:val="1A672B1C"/>
    <w:rsid w:val="1A7070DD"/>
    <w:rsid w:val="1A805F1C"/>
    <w:rsid w:val="1A8301C0"/>
    <w:rsid w:val="1A872248"/>
    <w:rsid w:val="1A9B2279"/>
    <w:rsid w:val="1A9D1677"/>
    <w:rsid w:val="1A9E6232"/>
    <w:rsid w:val="1AA57BA7"/>
    <w:rsid w:val="1AA74D3D"/>
    <w:rsid w:val="1AB34DB4"/>
    <w:rsid w:val="1AB613FD"/>
    <w:rsid w:val="1AB64B19"/>
    <w:rsid w:val="1AB73747"/>
    <w:rsid w:val="1AC03C10"/>
    <w:rsid w:val="1ACF5EB8"/>
    <w:rsid w:val="1AD26086"/>
    <w:rsid w:val="1ADD5ACE"/>
    <w:rsid w:val="1AE013F8"/>
    <w:rsid w:val="1AE8570C"/>
    <w:rsid w:val="1AF7297B"/>
    <w:rsid w:val="1AF97DCC"/>
    <w:rsid w:val="1AFB06A3"/>
    <w:rsid w:val="1B037DA4"/>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E64C5"/>
    <w:rsid w:val="1B9E6D4C"/>
    <w:rsid w:val="1BB07CEA"/>
    <w:rsid w:val="1BBD43BA"/>
    <w:rsid w:val="1BC01115"/>
    <w:rsid w:val="1BC44015"/>
    <w:rsid w:val="1BC96DA5"/>
    <w:rsid w:val="1BCA6284"/>
    <w:rsid w:val="1BCC6C47"/>
    <w:rsid w:val="1BE32C74"/>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C65562"/>
    <w:rsid w:val="1DD34749"/>
    <w:rsid w:val="1DDD201B"/>
    <w:rsid w:val="1DE94164"/>
    <w:rsid w:val="1DEE1B11"/>
    <w:rsid w:val="1E105A20"/>
    <w:rsid w:val="1E164B52"/>
    <w:rsid w:val="1E26583C"/>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F2219"/>
    <w:rsid w:val="1F614D01"/>
    <w:rsid w:val="1F721405"/>
    <w:rsid w:val="1F935819"/>
    <w:rsid w:val="1FA036A3"/>
    <w:rsid w:val="1FA628A2"/>
    <w:rsid w:val="1FA6556D"/>
    <w:rsid w:val="1FAF2571"/>
    <w:rsid w:val="1FB33036"/>
    <w:rsid w:val="1FC55EDA"/>
    <w:rsid w:val="1FC658C9"/>
    <w:rsid w:val="1FCE593C"/>
    <w:rsid w:val="1FE312AC"/>
    <w:rsid w:val="1FEC5915"/>
    <w:rsid w:val="1FED32EF"/>
    <w:rsid w:val="1FF82884"/>
    <w:rsid w:val="201E6D7C"/>
    <w:rsid w:val="20446081"/>
    <w:rsid w:val="204852AD"/>
    <w:rsid w:val="204A5E48"/>
    <w:rsid w:val="204A6449"/>
    <w:rsid w:val="204E6676"/>
    <w:rsid w:val="20580C17"/>
    <w:rsid w:val="20595924"/>
    <w:rsid w:val="205A5AA0"/>
    <w:rsid w:val="20773A28"/>
    <w:rsid w:val="208574F4"/>
    <w:rsid w:val="208C4449"/>
    <w:rsid w:val="208F6BAF"/>
    <w:rsid w:val="209414DB"/>
    <w:rsid w:val="20A462BA"/>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675117"/>
    <w:rsid w:val="21810744"/>
    <w:rsid w:val="218D6EF5"/>
    <w:rsid w:val="2195668B"/>
    <w:rsid w:val="219F69EC"/>
    <w:rsid w:val="21A130EA"/>
    <w:rsid w:val="21B405F8"/>
    <w:rsid w:val="21B5366A"/>
    <w:rsid w:val="21C267BF"/>
    <w:rsid w:val="21C67C42"/>
    <w:rsid w:val="21CB6217"/>
    <w:rsid w:val="21CD6BCD"/>
    <w:rsid w:val="21CE6067"/>
    <w:rsid w:val="21CF439A"/>
    <w:rsid w:val="21D824E4"/>
    <w:rsid w:val="21E35D49"/>
    <w:rsid w:val="21F00127"/>
    <w:rsid w:val="21F7745C"/>
    <w:rsid w:val="22035C75"/>
    <w:rsid w:val="221D2FA3"/>
    <w:rsid w:val="2226635F"/>
    <w:rsid w:val="222D4F0B"/>
    <w:rsid w:val="223A29CF"/>
    <w:rsid w:val="223D7545"/>
    <w:rsid w:val="22411D14"/>
    <w:rsid w:val="22423BE1"/>
    <w:rsid w:val="22454449"/>
    <w:rsid w:val="22500810"/>
    <w:rsid w:val="22596EC8"/>
    <w:rsid w:val="226347BD"/>
    <w:rsid w:val="22682935"/>
    <w:rsid w:val="226E0A7E"/>
    <w:rsid w:val="227E0D30"/>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C6F76"/>
    <w:rsid w:val="234449F5"/>
    <w:rsid w:val="23536618"/>
    <w:rsid w:val="236C1BCA"/>
    <w:rsid w:val="237464D5"/>
    <w:rsid w:val="23816932"/>
    <w:rsid w:val="23925D42"/>
    <w:rsid w:val="239C062C"/>
    <w:rsid w:val="23A9484E"/>
    <w:rsid w:val="23B32F98"/>
    <w:rsid w:val="23B84268"/>
    <w:rsid w:val="23D17D7B"/>
    <w:rsid w:val="23D36D91"/>
    <w:rsid w:val="23E02099"/>
    <w:rsid w:val="23F70BA5"/>
    <w:rsid w:val="23F93D0D"/>
    <w:rsid w:val="2405417E"/>
    <w:rsid w:val="24197365"/>
    <w:rsid w:val="241B5C62"/>
    <w:rsid w:val="24312CB0"/>
    <w:rsid w:val="243A6CBE"/>
    <w:rsid w:val="24513B48"/>
    <w:rsid w:val="2458381E"/>
    <w:rsid w:val="245872F9"/>
    <w:rsid w:val="245943D9"/>
    <w:rsid w:val="245E6B64"/>
    <w:rsid w:val="2463385E"/>
    <w:rsid w:val="246B2606"/>
    <w:rsid w:val="24767C7B"/>
    <w:rsid w:val="247C178B"/>
    <w:rsid w:val="24861BCE"/>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91F8B"/>
    <w:rsid w:val="256E76DE"/>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E3CBF"/>
    <w:rsid w:val="26395C92"/>
    <w:rsid w:val="2641231E"/>
    <w:rsid w:val="264252DF"/>
    <w:rsid w:val="26465DA0"/>
    <w:rsid w:val="26562F1C"/>
    <w:rsid w:val="26577EF5"/>
    <w:rsid w:val="265A5249"/>
    <w:rsid w:val="265C53CB"/>
    <w:rsid w:val="266237C3"/>
    <w:rsid w:val="267550B9"/>
    <w:rsid w:val="26996DAE"/>
    <w:rsid w:val="26BE1846"/>
    <w:rsid w:val="26C472EC"/>
    <w:rsid w:val="26E51F4F"/>
    <w:rsid w:val="26EC491A"/>
    <w:rsid w:val="26ED73E1"/>
    <w:rsid w:val="26F503CD"/>
    <w:rsid w:val="27036506"/>
    <w:rsid w:val="27047832"/>
    <w:rsid w:val="2706037D"/>
    <w:rsid w:val="27077793"/>
    <w:rsid w:val="270D152E"/>
    <w:rsid w:val="271436A9"/>
    <w:rsid w:val="27204B5D"/>
    <w:rsid w:val="27257DE1"/>
    <w:rsid w:val="272F31A0"/>
    <w:rsid w:val="27310CAC"/>
    <w:rsid w:val="27342901"/>
    <w:rsid w:val="273D2762"/>
    <w:rsid w:val="27470B72"/>
    <w:rsid w:val="27525E32"/>
    <w:rsid w:val="27604751"/>
    <w:rsid w:val="276D111F"/>
    <w:rsid w:val="2778582E"/>
    <w:rsid w:val="27806765"/>
    <w:rsid w:val="27821DE7"/>
    <w:rsid w:val="27832596"/>
    <w:rsid w:val="278C1620"/>
    <w:rsid w:val="279B1E53"/>
    <w:rsid w:val="279C5F0C"/>
    <w:rsid w:val="279E0177"/>
    <w:rsid w:val="27AA3521"/>
    <w:rsid w:val="27AB7429"/>
    <w:rsid w:val="27B10D86"/>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4E766A"/>
    <w:rsid w:val="2952590A"/>
    <w:rsid w:val="295545AF"/>
    <w:rsid w:val="29623F1E"/>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35650F"/>
    <w:rsid w:val="2A405845"/>
    <w:rsid w:val="2A4562D4"/>
    <w:rsid w:val="2A4D593F"/>
    <w:rsid w:val="2A575627"/>
    <w:rsid w:val="2A6C2D77"/>
    <w:rsid w:val="2A6E31F8"/>
    <w:rsid w:val="2A7270B7"/>
    <w:rsid w:val="2A87174E"/>
    <w:rsid w:val="2A8A2F9C"/>
    <w:rsid w:val="2AA45D17"/>
    <w:rsid w:val="2AAB3B94"/>
    <w:rsid w:val="2AAC5A06"/>
    <w:rsid w:val="2AB775FB"/>
    <w:rsid w:val="2ABB3D6F"/>
    <w:rsid w:val="2AC70B30"/>
    <w:rsid w:val="2ACC2AAF"/>
    <w:rsid w:val="2AD74744"/>
    <w:rsid w:val="2AD91AC2"/>
    <w:rsid w:val="2AE57C95"/>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950A36"/>
    <w:rsid w:val="2BA07D38"/>
    <w:rsid w:val="2BC40957"/>
    <w:rsid w:val="2BCA5C66"/>
    <w:rsid w:val="2BCB5DAA"/>
    <w:rsid w:val="2BD65380"/>
    <w:rsid w:val="2BD86372"/>
    <w:rsid w:val="2BDA39FD"/>
    <w:rsid w:val="2BE725D0"/>
    <w:rsid w:val="2BF369B9"/>
    <w:rsid w:val="2BFC0A4A"/>
    <w:rsid w:val="2C094904"/>
    <w:rsid w:val="2C0E55A1"/>
    <w:rsid w:val="2C346DB5"/>
    <w:rsid w:val="2C3A7BF6"/>
    <w:rsid w:val="2C425BCE"/>
    <w:rsid w:val="2C44676A"/>
    <w:rsid w:val="2C495C38"/>
    <w:rsid w:val="2C4A080C"/>
    <w:rsid w:val="2C4E77B9"/>
    <w:rsid w:val="2C54533B"/>
    <w:rsid w:val="2C591378"/>
    <w:rsid w:val="2C797A76"/>
    <w:rsid w:val="2C8B6C0E"/>
    <w:rsid w:val="2C8F4862"/>
    <w:rsid w:val="2C9E5AC8"/>
    <w:rsid w:val="2CA05674"/>
    <w:rsid w:val="2CA2721B"/>
    <w:rsid w:val="2CAC6D87"/>
    <w:rsid w:val="2CB268EE"/>
    <w:rsid w:val="2CB600FC"/>
    <w:rsid w:val="2CCB6E18"/>
    <w:rsid w:val="2CCF5C52"/>
    <w:rsid w:val="2CE01F07"/>
    <w:rsid w:val="2CE8526F"/>
    <w:rsid w:val="2D024DC7"/>
    <w:rsid w:val="2D026315"/>
    <w:rsid w:val="2D0764BD"/>
    <w:rsid w:val="2D0A3DA2"/>
    <w:rsid w:val="2D0B3169"/>
    <w:rsid w:val="2D0D4219"/>
    <w:rsid w:val="2D105AFA"/>
    <w:rsid w:val="2D2279B8"/>
    <w:rsid w:val="2D274320"/>
    <w:rsid w:val="2D2D2DE2"/>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417BA"/>
    <w:rsid w:val="2FA6492D"/>
    <w:rsid w:val="2FC86676"/>
    <w:rsid w:val="2FD17A1B"/>
    <w:rsid w:val="2FD71CA4"/>
    <w:rsid w:val="2FDC432A"/>
    <w:rsid w:val="2FDC4A8D"/>
    <w:rsid w:val="2FE27109"/>
    <w:rsid w:val="2FEA743A"/>
    <w:rsid w:val="2FF24D11"/>
    <w:rsid w:val="2FF93066"/>
    <w:rsid w:val="301742B2"/>
    <w:rsid w:val="301A1509"/>
    <w:rsid w:val="301A71CE"/>
    <w:rsid w:val="301D63DD"/>
    <w:rsid w:val="301E049B"/>
    <w:rsid w:val="302A4BE6"/>
    <w:rsid w:val="304478EC"/>
    <w:rsid w:val="304F4511"/>
    <w:rsid w:val="30515C8E"/>
    <w:rsid w:val="305823FF"/>
    <w:rsid w:val="30830761"/>
    <w:rsid w:val="30926F91"/>
    <w:rsid w:val="30962F3E"/>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A9328B"/>
    <w:rsid w:val="31B718F2"/>
    <w:rsid w:val="31C57B88"/>
    <w:rsid w:val="31D20051"/>
    <w:rsid w:val="31E745D2"/>
    <w:rsid w:val="31EF7EE8"/>
    <w:rsid w:val="3201404F"/>
    <w:rsid w:val="320901F5"/>
    <w:rsid w:val="320B7CCB"/>
    <w:rsid w:val="32105DE8"/>
    <w:rsid w:val="32286907"/>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A47053"/>
    <w:rsid w:val="33AD5111"/>
    <w:rsid w:val="33BF4199"/>
    <w:rsid w:val="33CD23A8"/>
    <w:rsid w:val="33CD6498"/>
    <w:rsid w:val="33D7554F"/>
    <w:rsid w:val="33D825FA"/>
    <w:rsid w:val="33DB2AB1"/>
    <w:rsid w:val="33FE62E7"/>
    <w:rsid w:val="34080399"/>
    <w:rsid w:val="340D25F6"/>
    <w:rsid w:val="34161D6C"/>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A603C"/>
    <w:rsid w:val="352821F6"/>
    <w:rsid w:val="3533698A"/>
    <w:rsid w:val="35387F19"/>
    <w:rsid w:val="3539550B"/>
    <w:rsid w:val="354319AA"/>
    <w:rsid w:val="354D5E0E"/>
    <w:rsid w:val="355D10E3"/>
    <w:rsid w:val="356150BC"/>
    <w:rsid w:val="356678B4"/>
    <w:rsid w:val="3573649F"/>
    <w:rsid w:val="357E4B0A"/>
    <w:rsid w:val="35866D7F"/>
    <w:rsid w:val="358F6BDF"/>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B3A97"/>
    <w:rsid w:val="3ADD2B05"/>
    <w:rsid w:val="3AE36EC1"/>
    <w:rsid w:val="3AE417E3"/>
    <w:rsid w:val="3AE440AF"/>
    <w:rsid w:val="3AF7667E"/>
    <w:rsid w:val="3B113F51"/>
    <w:rsid w:val="3B192990"/>
    <w:rsid w:val="3B251957"/>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576C"/>
    <w:rsid w:val="3D316CDB"/>
    <w:rsid w:val="3D3768D2"/>
    <w:rsid w:val="3D3A3838"/>
    <w:rsid w:val="3D3D6BBD"/>
    <w:rsid w:val="3D404CC7"/>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EC7D18"/>
    <w:rsid w:val="40ED11A0"/>
    <w:rsid w:val="40F92E97"/>
    <w:rsid w:val="40FD1BF0"/>
    <w:rsid w:val="41015E92"/>
    <w:rsid w:val="41096BC0"/>
    <w:rsid w:val="410A75B6"/>
    <w:rsid w:val="410B452A"/>
    <w:rsid w:val="41146D26"/>
    <w:rsid w:val="411B6EDC"/>
    <w:rsid w:val="413353F1"/>
    <w:rsid w:val="414C0B0E"/>
    <w:rsid w:val="41513BC9"/>
    <w:rsid w:val="41735B7F"/>
    <w:rsid w:val="419302E2"/>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44AA"/>
    <w:rsid w:val="43296963"/>
    <w:rsid w:val="4332317A"/>
    <w:rsid w:val="433246A0"/>
    <w:rsid w:val="433E7EE2"/>
    <w:rsid w:val="433F6B54"/>
    <w:rsid w:val="43424AD7"/>
    <w:rsid w:val="4346543A"/>
    <w:rsid w:val="43533E29"/>
    <w:rsid w:val="43561E16"/>
    <w:rsid w:val="435B1259"/>
    <w:rsid w:val="436263D5"/>
    <w:rsid w:val="437556C4"/>
    <w:rsid w:val="43874CD4"/>
    <w:rsid w:val="439B699F"/>
    <w:rsid w:val="439D3E18"/>
    <w:rsid w:val="439F1200"/>
    <w:rsid w:val="43AE320F"/>
    <w:rsid w:val="43AF2D32"/>
    <w:rsid w:val="43B13512"/>
    <w:rsid w:val="43B76E4F"/>
    <w:rsid w:val="43C9176D"/>
    <w:rsid w:val="43CF0206"/>
    <w:rsid w:val="43D50BA1"/>
    <w:rsid w:val="43D81E71"/>
    <w:rsid w:val="43D85D6D"/>
    <w:rsid w:val="43EC6F1F"/>
    <w:rsid w:val="43F124F2"/>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26398E"/>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6700F2"/>
    <w:rsid w:val="47696F9C"/>
    <w:rsid w:val="47714F1F"/>
    <w:rsid w:val="47725A17"/>
    <w:rsid w:val="47756A03"/>
    <w:rsid w:val="477D3243"/>
    <w:rsid w:val="478821A1"/>
    <w:rsid w:val="479128A9"/>
    <w:rsid w:val="47956820"/>
    <w:rsid w:val="47975EDC"/>
    <w:rsid w:val="47983B19"/>
    <w:rsid w:val="479E2C8A"/>
    <w:rsid w:val="47A3609D"/>
    <w:rsid w:val="47C01792"/>
    <w:rsid w:val="47C57A48"/>
    <w:rsid w:val="47D511BD"/>
    <w:rsid w:val="4808150F"/>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354EC"/>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44D3"/>
    <w:rsid w:val="4A255046"/>
    <w:rsid w:val="4A2E1525"/>
    <w:rsid w:val="4A5A756D"/>
    <w:rsid w:val="4A722B4C"/>
    <w:rsid w:val="4A785772"/>
    <w:rsid w:val="4A7A7433"/>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174032"/>
    <w:rsid w:val="4B1D7328"/>
    <w:rsid w:val="4B250CF8"/>
    <w:rsid w:val="4B2873FD"/>
    <w:rsid w:val="4B3D4DE9"/>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B3057"/>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AF14C5"/>
    <w:rsid w:val="4DB9067A"/>
    <w:rsid w:val="4DC605B6"/>
    <w:rsid w:val="4DD732D2"/>
    <w:rsid w:val="4DEC0985"/>
    <w:rsid w:val="4E000105"/>
    <w:rsid w:val="4E0538A3"/>
    <w:rsid w:val="4E0E6818"/>
    <w:rsid w:val="4E27683A"/>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B4432"/>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1A96"/>
    <w:rsid w:val="4F2A7BF3"/>
    <w:rsid w:val="4F2E2624"/>
    <w:rsid w:val="4F4E1077"/>
    <w:rsid w:val="4F546156"/>
    <w:rsid w:val="4F5B6F39"/>
    <w:rsid w:val="4F621F24"/>
    <w:rsid w:val="4F64780B"/>
    <w:rsid w:val="4F844A99"/>
    <w:rsid w:val="4F94662C"/>
    <w:rsid w:val="4FAB774E"/>
    <w:rsid w:val="4FB00163"/>
    <w:rsid w:val="4FB208E7"/>
    <w:rsid w:val="4FE30332"/>
    <w:rsid w:val="4FE70BB4"/>
    <w:rsid w:val="4FE73C01"/>
    <w:rsid w:val="4FE76D51"/>
    <w:rsid w:val="4FE87C31"/>
    <w:rsid w:val="4FF03F98"/>
    <w:rsid w:val="4FF14DC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A578DE"/>
    <w:rsid w:val="50A649F5"/>
    <w:rsid w:val="50AB5EB6"/>
    <w:rsid w:val="50AE6FE2"/>
    <w:rsid w:val="50B16618"/>
    <w:rsid w:val="50BB6306"/>
    <w:rsid w:val="50C12EDC"/>
    <w:rsid w:val="50CD2E4B"/>
    <w:rsid w:val="50D8533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F6CC6"/>
    <w:rsid w:val="5147175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F6353C"/>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44BB6"/>
    <w:rsid w:val="529C012B"/>
    <w:rsid w:val="52A24532"/>
    <w:rsid w:val="52A611A1"/>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A4479"/>
    <w:rsid w:val="551B7F0A"/>
    <w:rsid w:val="552A6B56"/>
    <w:rsid w:val="55314F13"/>
    <w:rsid w:val="5532385A"/>
    <w:rsid w:val="55381D42"/>
    <w:rsid w:val="55401B14"/>
    <w:rsid w:val="554748F2"/>
    <w:rsid w:val="554D414C"/>
    <w:rsid w:val="554E7279"/>
    <w:rsid w:val="55594FFB"/>
    <w:rsid w:val="55637CEB"/>
    <w:rsid w:val="55677DDA"/>
    <w:rsid w:val="556A71C0"/>
    <w:rsid w:val="55757FB9"/>
    <w:rsid w:val="55884237"/>
    <w:rsid w:val="558B1E31"/>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A33734"/>
    <w:rsid w:val="57AB6ADD"/>
    <w:rsid w:val="57B7178E"/>
    <w:rsid w:val="57B76EED"/>
    <w:rsid w:val="57BD72A7"/>
    <w:rsid w:val="57BE5838"/>
    <w:rsid w:val="57BF764E"/>
    <w:rsid w:val="57CB35DF"/>
    <w:rsid w:val="57D82354"/>
    <w:rsid w:val="57FC07D9"/>
    <w:rsid w:val="57FF6992"/>
    <w:rsid w:val="58036FF1"/>
    <w:rsid w:val="580F1B21"/>
    <w:rsid w:val="581B7E79"/>
    <w:rsid w:val="5837438C"/>
    <w:rsid w:val="58420FA1"/>
    <w:rsid w:val="58500F22"/>
    <w:rsid w:val="58587379"/>
    <w:rsid w:val="585D72B5"/>
    <w:rsid w:val="586D57A3"/>
    <w:rsid w:val="587917A0"/>
    <w:rsid w:val="587A4288"/>
    <w:rsid w:val="5880052B"/>
    <w:rsid w:val="588E3967"/>
    <w:rsid w:val="589E7444"/>
    <w:rsid w:val="58AD27D9"/>
    <w:rsid w:val="58B169A2"/>
    <w:rsid w:val="58B9636C"/>
    <w:rsid w:val="58C37133"/>
    <w:rsid w:val="58C93046"/>
    <w:rsid w:val="58D36BCB"/>
    <w:rsid w:val="58D8157C"/>
    <w:rsid w:val="58E11166"/>
    <w:rsid w:val="58E6349C"/>
    <w:rsid w:val="58E83DEC"/>
    <w:rsid w:val="58EF63EE"/>
    <w:rsid w:val="590317F0"/>
    <w:rsid w:val="59075000"/>
    <w:rsid w:val="593559FD"/>
    <w:rsid w:val="593A4D15"/>
    <w:rsid w:val="594079B2"/>
    <w:rsid w:val="595B45EE"/>
    <w:rsid w:val="595C4A81"/>
    <w:rsid w:val="596A688E"/>
    <w:rsid w:val="59860400"/>
    <w:rsid w:val="5987482A"/>
    <w:rsid w:val="598A58C2"/>
    <w:rsid w:val="598C6F19"/>
    <w:rsid w:val="599C49A8"/>
    <w:rsid w:val="59A252D5"/>
    <w:rsid w:val="59A36725"/>
    <w:rsid w:val="59AD4E2E"/>
    <w:rsid w:val="59B14918"/>
    <w:rsid w:val="59B21BF9"/>
    <w:rsid w:val="59B80C41"/>
    <w:rsid w:val="59BB4EA3"/>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75D85"/>
    <w:rsid w:val="5AB7299D"/>
    <w:rsid w:val="5ABC50F4"/>
    <w:rsid w:val="5ACC4940"/>
    <w:rsid w:val="5ACD3CD2"/>
    <w:rsid w:val="5AD7333E"/>
    <w:rsid w:val="5AD86A6D"/>
    <w:rsid w:val="5ADF4325"/>
    <w:rsid w:val="5AE8708E"/>
    <w:rsid w:val="5AEB6283"/>
    <w:rsid w:val="5AEC14F6"/>
    <w:rsid w:val="5AF124A4"/>
    <w:rsid w:val="5B0A4D6B"/>
    <w:rsid w:val="5B141085"/>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EB0120"/>
    <w:rsid w:val="5BEC175C"/>
    <w:rsid w:val="5BEF3E44"/>
    <w:rsid w:val="5BEF69FF"/>
    <w:rsid w:val="5C053E62"/>
    <w:rsid w:val="5C064BA0"/>
    <w:rsid w:val="5C07067E"/>
    <w:rsid w:val="5C075BB6"/>
    <w:rsid w:val="5C097C4E"/>
    <w:rsid w:val="5C1A3A93"/>
    <w:rsid w:val="5C1C3059"/>
    <w:rsid w:val="5C235386"/>
    <w:rsid w:val="5C2A4E9F"/>
    <w:rsid w:val="5C37782E"/>
    <w:rsid w:val="5C3B6CFC"/>
    <w:rsid w:val="5C4735D5"/>
    <w:rsid w:val="5C4C2CF4"/>
    <w:rsid w:val="5C6B1600"/>
    <w:rsid w:val="5C6E26BF"/>
    <w:rsid w:val="5C706511"/>
    <w:rsid w:val="5C7D70D1"/>
    <w:rsid w:val="5C8542A8"/>
    <w:rsid w:val="5C93251D"/>
    <w:rsid w:val="5CA6294E"/>
    <w:rsid w:val="5CCC1DEC"/>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683B6E"/>
    <w:rsid w:val="5F684490"/>
    <w:rsid w:val="5F697EE8"/>
    <w:rsid w:val="5F6D06D6"/>
    <w:rsid w:val="5F6E768C"/>
    <w:rsid w:val="5F875C0C"/>
    <w:rsid w:val="5F8A0701"/>
    <w:rsid w:val="5F8F0B9E"/>
    <w:rsid w:val="5F8F267A"/>
    <w:rsid w:val="5F941274"/>
    <w:rsid w:val="5F9A540B"/>
    <w:rsid w:val="5FAB7F08"/>
    <w:rsid w:val="5FB7185B"/>
    <w:rsid w:val="5FB94C48"/>
    <w:rsid w:val="5FBE576C"/>
    <w:rsid w:val="5FDE327E"/>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4263A2"/>
    <w:rsid w:val="625272C3"/>
    <w:rsid w:val="626A1B4F"/>
    <w:rsid w:val="62715337"/>
    <w:rsid w:val="6280204D"/>
    <w:rsid w:val="6290769B"/>
    <w:rsid w:val="62943D08"/>
    <w:rsid w:val="629718F1"/>
    <w:rsid w:val="62A05735"/>
    <w:rsid w:val="62A411F8"/>
    <w:rsid w:val="62A81A26"/>
    <w:rsid w:val="62B0109F"/>
    <w:rsid w:val="62BA7A46"/>
    <w:rsid w:val="62C376AC"/>
    <w:rsid w:val="62CE13CB"/>
    <w:rsid w:val="62D2197B"/>
    <w:rsid w:val="62DB028F"/>
    <w:rsid w:val="62EE4623"/>
    <w:rsid w:val="62F214BD"/>
    <w:rsid w:val="62F6011A"/>
    <w:rsid w:val="62FD2BA9"/>
    <w:rsid w:val="6327422B"/>
    <w:rsid w:val="6328597C"/>
    <w:rsid w:val="633B249F"/>
    <w:rsid w:val="633D1842"/>
    <w:rsid w:val="635123F0"/>
    <w:rsid w:val="63552D76"/>
    <w:rsid w:val="6359778B"/>
    <w:rsid w:val="635B63E3"/>
    <w:rsid w:val="63625A36"/>
    <w:rsid w:val="63677698"/>
    <w:rsid w:val="63771D13"/>
    <w:rsid w:val="638C3395"/>
    <w:rsid w:val="63B37325"/>
    <w:rsid w:val="63B82D87"/>
    <w:rsid w:val="63BA3154"/>
    <w:rsid w:val="63C509F9"/>
    <w:rsid w:val="63CA2E8B"/>
    <w:rsid w:val="63CF097D"/>
    <w:rsid w:val="63D4153E"/>
    <w:rsid w:val="63DA0FA3"/>
    <w:rsid w:val="63DC7755"/>
    <w:rsid w:val="63E43D21"/>
    <w:rsid w:val="63E774B3"/>
    <w:rsid w:val="63F47D2A"/>
    <w:rsid w:val="63F6335E"/>
    <w:rsid w:val="63FE2D33"/>
    <w:rsid w:val="64046427"/>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B1AC2"/>
    <w:rsid w:val="649B4C1C"/>
    <w:rsid w:val="64A7467B"/>
    <w:rsid w:val="64B53322"/>
    <w:rsid w:val="64C41B57"/>
    <w:rsid w:val="64C61AF8"/>
    <w:rsid w:val="64C86505"/>
    <w:rsid w:val="64E65F95"/>
    <w:rsid w:val="64EB5728"/>
    <w:rsid w:val="64FB4412"/>
    <w:rsid w:val="64FE700F"/>
    <w:rsid w:val="6500327F"/>
    <w:rsid w:val="6503698F"/>
    <w:rsid w:val="6506609B"/>
    <w:rsid w:val="65083216"/>
    <w:rsid w:val="650A57D3"/>
    <w:rsid w:val="65460728"/>
    <w:rsid w:val="654835A8"/>
    <w:rsid w:val="654C7056"/>
    <w:rsid w:val="65733E15"/>
    <w:rsid w:val="65822810"/>
    <w:rsid w:val="65870C45"/>
    <w:rsid w:val="658F6B54"/>
    <w:rsid w:val="659705FF"/>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507C6"/>
    <w:rsid w:val="68E24981"/>
    <w:rsid w:val="68E62C62"/>
    <w:rsid w:val="68ED60A5"/>
    <w:rsid w:val="69123F86"/>
    <w:rsid w:val="691C1D81"/>
    <w:rsid w:val="691C3525"/>
    <w:rsid w:val="691C4B46"/>
    <w:rsid w:val="69216128"/>
    <w:rsid w:val="69250799"/>
    <w:rsid w:val="69280874"/>
    <w:rsid w:val="692E74C3"/>
    <w:rsid w:val="69307671"/>
    <w:rsid w:val="695D6B21"/>
    <w:rsid w:val="69611EE7"/>
    <w:rsid w:val="69621F5B"/>
    <w:rsid w:val="696C708E"/>
    <w:rsid w:val="696F4D5D"/>
    <w:rsid w:val="69850877"/>
    <w:rsid w:val="698C13C5"/>
    <w:rsid w:val="69C12919"/>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E4699C"/>
    <w:rsid w:val="6AED1BE8"/>
    <w:rsid w:val="6AF00853"/>
    <w:rsid w:val="6AF317C6"/>
    <w:rsid w:val="6B004C6B"/>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E727F5"/>
    <w:rsid w:val="6C001608"/>
    <w:rsid w:val="6C08064C"/>
    <w:rsid w:val="6C0858B3"/>
    <w:rsid w:val="6C132D21"/>
    <w:rsid w:val="6C240DF3"/>
    <w:rsid w:val="6C45610F"/>
    <w:rsid w:val="6C59472D"/>
    <w:rsid w:val="6C5A4564"/>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B4AB7"/>
    <w:rsid w:val="6D836C02"/>
    <w:rsid w:val="6D89784B"/>
    <w:rsid w:val="6D8C7F73"/>
    <w:rsid w:val="6D9057BE"/>
    <w:rsid w:val="6D9E0566"/>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C3A24"/>
    <w:rsid w:val="6ED86D3E"/>
    <w:rsid w:val="6EE9744F"/>
    <w:rsid w:val="6EEC3F7C"/>
    <w:rsid w:val="6EF3602C"/>
    <w:rsid w:val="6EFE1485"/>
    <w:rsid w:val="6F0247B3"/>
    <w:rsid w:val="6F031F8E"/>
    <w:rsid w:val="6F09008D"/>
    <w:rsid w:val="6F0C735C"/>
    <w:rsid w:val="6F0D382C"/>
    <w:rsid w:val="6F2632E8"/>
    <w:rsid w:val="6F30363A"/>
    <w:rsid w:val="6F3316E5"/>
    <w:rsid w:val="6F3F40F9"/>
    <w:rsid w:val="6F424B2F"/>
    <w:rsid w:val="6F5E0205"/>
    <w:rsid w:val="6F632569"/>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291C03"/>
    <w:rsid w:val="702B6F43"/>
    <w:rsid w:val="7032079E"/>
    <w:rsid w:val="703C186A"/>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8395C"/>
    <w:rsid w:val="714B215B"/>
    <w:rsid w:val="714E2D72"/>
    <w:rsid w:val="71545B37"/>
    <w:rsid w:val="71570E43"/>
    <w:rsid w:val="71573E01"/>
    <w:rsid w:val="716F00B2"/>
    <w:rsid w:val="71702748"/>
    <w:rsid w:val="71867894"/>
    <w:rsid w:val="71920F6D"/>
    <w:rsid w:val="7196106A"/>
    <w:rsid w:val="719E0160"/>
    <w:rsid w:val="719F7A78"/>
    <w:rsid w:val="71A03079"/>
    <w:rsid w:val="71AD22C0"/>
    <w:rsid w:val="71B623F6"/>
    <w:rsid w:val="71B84778"/>
    <w:rsid w:val="71C7540C"/>
    <w:rsid w:val="71E857A5"/>
    <w:rsid w:val="71F64A63"/>
    <w:rsid w:val="71F870B8"/>
    <w:rsid w:val="72021233"/>
    <w:rsid w:val="720B2A1D"/>
    <w:rsid w:val="72197AB8"/>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63274A"/>
    <w:rsid w:val="73691A4A"/>
    <w:rsid w:val="7371152B"/>
    <w:rsid w:val="73777B4D"/>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16F54"/>
    <w:rsid w:val="744B354F"/>
    <w:rsid w:val="7450294E"/>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A4340"/>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7001F24"/>
    <w:rsid w:val="770A6C33"/>
    <w:rsid w:val="771A04D1"/>
    <w:rsid w:val="771B67DF"/>
    <w:rsid w:val="771E64D7"/>
    <w:rsid w:val="77240552"/>
    <w:rsid w:val="77272CAB"/>
    <w:rsid w:val="772B4341"/>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708D9"/>
    <w:rsid w:val="794B21A1"/>
    <w:rsid w:val="7964574A"/>
    <w:rsid w:val="79804706"/>
    <w:rsid w:val="79835FC2"/>
    <w:rsid w:val="79840597"/>
    <w:rsid w:val="79941CF2"/>
    <w:rsid w:val="79973382"/>
    <w:rsid w:val="79B4353E"/>
    <w:rsid w:val="79C07B43"/>
    <w:rsid w:val="79C832AC"/>
    <w:rsid w:val="79D33056"/>
    <w:rsid w:val="79D715DF"/>
    <w:rsid w:val="79D85AB0"/>
    <w:rsid w:val="79E16F93"/>
    <w:rsid w:val="79E701E5"/>
    <w:rsid w:val="79EC0256"/>
    <w:rsid w:val="79F60153"/>
    <w:rsid w:val="79FB6E2C"/>
    <w:rsid w:val="79FF7B91"/>
    <w:rsid w:val="7A36322F"/>
    <w:rsid w:val="7A431242"/>
    <w:rsid w:val="7A444657"/>
    <w:rsid w:val="7A4B3D21"/>
    <w:rsid w:val="7A4C2D60"/>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067F6"/>
    <w:rsid w:val="7C4674BA"/>
    <w:rsid w:val="7C4A2BD1"/>
    <w:rsid w:val="7C4C0053"/>
    <w:rsid w:val="7C576C70"/>
    <w:rsid w:val="7C6E4349"/>
    <w:rsid w:val="7C77043F"/>
    <w:rsid w:val="7C8A7CDC"/>
    <w:rsid w:val="7C9B5288"/>
    <w:rsid w:val="7C9E5A24"/>
    <w:rsid w:val="7CA745A1"/>
    <w:rsid w:val="7CAF4DCB"/>
    <w:rsid w:val="7CB4006B"/>
    <w:rsid w:val="7CB93ABB"/>
    <w:rsid w:val="7CC475DB"/>
    <w:rsid w:val="7CCA4C41"/>
    <w:rsid w:val="7CD36BD6"/>
    <w:rsid w:val="7CDE3831"/>
    <w:rsid w:val="7CE656F0"/>
    <w:rsid w:val="7CED34FF"/>
    <w:rsid w:val="7CEE5458"/>
    <w:rsid w:val="7CF26588"/>
    <w:rsid w:val="7CF565D7"/>
    <w:rsid w:val="7CF7605D"/>
    <w:rsid w:val="7CF867A7"/>
    <w:rsid w:val="7CFA3A46"/>
    <w:rsid w:val="7CFC78A1"/>
    <w:rsid w:val="7D0F5720"/>
    <w:rsid w:val="7D24652E"/>
    <w:rsid w:val="7D2561FD"/>
    <w:rsid w:val="7D2E198F"/>
    <w:rsid w:val="7D342E03"/>
    <w:rsid w:val="7D3B3737"/>
    <w:rsid w:val="7D3D73AF"/>
    <w:rsid w:val="7D3F6E5D"/>
    <w:rsid w:val="7D5052A6"/>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7</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2024-08-09T08:49:36Z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2C76AEB552B54F80A12B88DD3D57EA5C</vt:lpwstr>
  </property>
</Properties>
</file>